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E58F3" w14:textId="03F73E3B" w:rsidR="008701F7" w:rsidRPr="00526B42" w:rsidRDefault="00ED6592" w:rsidP="00721D8E">
      <w:pPr>
        <w:pStyle w:val="Heading1"/>
        <w:spacing w:after="240"/>
      </w:pPr>
      <w:r w:rsidRPr="00526B42">
        <w:t xml:space="preserve">Review title: </w:t>
      </w:r>
      <w:r w:rsidR="00AD7D68" w:rsidRPr="00526B42">
        <w:t>Vision and hearing access</w:t>
      </w:r>
      <w:r w:rsidR="005E051A">
        <w:t xml:space="preserve"> </w:t>
      </w:r>
      <w:r w:rsidR="00AD7D68" w:rsidRPr="00526B42">
        <w:t>in informed consent practice for clinical research: a systematic literature review.</w:t>
      </w:r>
    </w:p>
    <w:p w14:paraId="435E58F4" w14:textId="77777777" w:rsidR="008701F7" w:rsidRPr="00526B42" w:rsidRDefault="00ED6592" w:rsidP="00721D8E">
      <w:pPr>
        <w:pStyle w:val="Heading2"/>
        <w:spacing w:after="240"/>
        <w:rPr>
          <w:sz w:val="22"/>
          <w:szCs w:val="22"/>
        </w:rPr>
      </w:pPr>
      <w:r w:rsidRPr="00526B42">
        <w:t>Authors and affiliations</w:t>
      </w:r>
    </w:p>
    <w:p w14:paraId="1B991AFF" w14:textId="77777777" w:rsidR="00A16DD4" w:rsidRPr="00971FE2" w:rsidRDefault="00A16DD4" w:rsidP="00A16DD4">
      <w:r w:rsidRPr="00971FE2">
        <w:t>Fleur O’Hare</w:t>
      </w:r>
      <w:r>
        <w:t xml:space="preserve"> (1, 2);</w:t>
      </w:r>
      <w:r w:rsidRPr="00971FE2">
        <w:t xml:space="preserve"> Sujani Thrimawithana</w:t>
      </w:r>
      <w:r>
        <w:t xml:space="preserve"> (1, 2);</w:t>
      </w:r>
      <w:r w:rsidRPr="00971FE2">
        <w:t xml:space="preserve"> David Foran</w:t>
      </w:r>
      <w:r>
        <w:t xml:space="preserve"> (3); </w:t>
      </w:r>
      <w:r w:rsidRPr="00971FE2">
        <w:t>Aimee Clagu</w:t>
      </w:r>
      <w:r>
        <w:t>e (4);</w:t>
      </w:r>
      <w:r w:rsidRPr="00971FE2">
        <w:t xml:space="preserve"> Eden G. Robertson</w:t>
      </w:r>
      <w:r>
        <w:t xml:space="preserve"> (5, 6); </w:t>
      </w:r>
      <w:r w:rsidRPr="00971FE2">
        <w:t>Camille Paynter</w:t>
      </w:r>
      <w:r>
        <w:t xml:space="preserve"> (7, 8);</w:t>
      </w:r>
      <w:r w:rsidRPr="00971FE2">
        <w:t xml:space="preserve"> Tessa Saunders</w:t>
      </w:r>
      <w:r>
        <w:t>* (9);</w:t>
      </w:r>
      <w:r w:rsidRPr="00971FE2">
        <w:t xml:space="preserve"> Lauren N. Ayton</w:t>
      </w:r>
      <w:r>
        <w:t>* (1, 2, 10)</w:t>
      </w:r>
      <w:r w:rsidRPr="00971FE2">
        <w:t>.</w:t>
      </w:r>
    </w:p>
    <w:p w14:paraId="5BAD7570" w14:textId="77777777" w:rsidR="00A16DD4" w:rsidRPr="004845D1" w:rsidRDefault="00A16DD4" w:rsidP="00A16DD4">
      <w:pPr>
        <w:rPr>
          <w:b/>
          <w:bCs/>
        </w:rPr>
      </w:pPr>
      <w:r w:rsidRPr="004845D1">
        <w:rPr>
          <w:b/>
          <w:bCs/>
        </w:rPr>
        <w:t>Affiliations:</w:t>
      </w:r>
    </w:p>
    <w:p w14:paraId="287F2A7F" w14:textId="77777777" w:rsidR="00A16DD4" w:rsidRPr="00503872" w:rsidRDefault="00A16DD4" w:rsidP="00A16DD4">
      <w:pPr>
        <w:pStyle w:val="ListParagraph"/>
        <w:numPr>
          <w:ilvl w:val="0"/>
          <w:numId w:val="41"/>
        </w:numPr>
        <w:spacing w:line="288" w:lineRule="auto"/>
        <w:rPr>
          <w:sz w:val="22"/>
        </w:rPr>
      </w:pPr>
      <w:r w:rsidRPr="00503872">
        <w:rPr>
          <w:sz w:val="22"/>
        </w:rPr>
        <w:t>Department of Optometry and Vision Sciences, Melbourne School of Health Sciences, University of Melbourne, Victoria, Australia.</w:t>
      </w:r>
    </w:p>
    <w:p w14:paraId="318E17B0" w14:textId="77777777" w:rsidR="00A16DD4" w:rsidRPr="00503872" w:rsidRDefault="00A16DD4" w:rsidP="00A16DD4">
      <w:pPr>
        <w:pStyle w:val="ListParagraph"/>
        <w:numPr>
          <w:ilvl w:val="0"/>
          <w:numId w:val="41"/>
        </w:numPr>
        <w:spacing w:line="288" w:lineRule="auto"/>
        <w:rPr>
          <w:sz w:val="22"/>
        </w:rPr>
      </w:pPr>
      <w:r w:rsidRPr="00503872">
        <w:rPr>
          <w:sz w:val="22"/>
        </w:rPr>
        <w:t>Centre for Eye Research Australia, Melbourne, Australia.</w:t>
      </w:r>
    </w:p>
    <w:p w14:paraId="332F94B4" w14:textId="77777777" w:rsidR="00A16DD4" w:rsidRPr="00503872" w:rsidRDefault="00A16DD4" w:rsidP="00A16DD4">
      <w:pPr>
        <w:pStyle w:val="ListParagraph"/>
        <w:numPr>
          <w:ilvl w:val="0"/>
          <w:numId w:val="41"/>
        </w:numPr>
        <w:spacing w:line="288" w:lineRule="auto"/>
        <w:rPr>
          <w:sz w:val="22"/>
        </w:rPr>
      </w:pPr>
      <w:proofErr w:type="spellStart"/>
      <w:r w:rsidRPr="00503872">
        <w:rPr>
          <w:sz w:val="22"/>
        </w:rPr>
        <w:t>Equalus</w:t>
      </w:r>
      <w:proofErr w:type="spellEnd"/>
      <w:r w:rsidRPr="00503872">
        <w:rPr>
          <w:sz w:val="22"/>
        </w:rPr>
        <w:t xml:space="preserve"> Advisory, Noosa Heads, Queensland, Australia.</w:t>
      </w:r>
    </w:p>
    <w:p w14:paraId="43688818" w14:textId="77777777" w:rsidR="00A16DD4" w:rsidRPr="00503872" w:rsidRDefault="00A16DD4" w:rsidP="00A16DD4">
      <w:pPr>
        <w:pStyle w:val="ListParagraph"/>
        <w:numPr>
          <w:ilvl w:val="0"/>
          <w:numId w:val="41"/>
        </w:numPr>
        <w:spacing w:line="288" w:lineRule="auto"/>
        <w:rPr>
          <w:sz w:val="22"/>
        </w:rPr>
      </w:pPr>
      <w:r w:rsidRPr="00503872">
        <w:rPr>
          <w:sz w:val="22"/>
        </w:rPr>
        <w:t>University Library, University of Melbourne, Victoria, Australia.</w:t>
      </w:r>
    </w:p>
    <w:p w14:paraId="1C39DE3B" w14:textId="77777777" w:rsidR="00A16DD4" w:rsidRPr="00503872" w:rsidRDefault="00A16DD4" w:rsidP="00A16DD4">
      <w:pPr>
        <w:pStyle w:val="ListParagraph"/>
        <w:numPr>
          <w:ilvl w:val="0"/>
          <w:numId w:val="41"/>
        </w:numPr>
        <w:spacing w:line="288" w:lineRule="auto"/>
        <w:rPr>
          <w:sz w:val="22"/>
        </w:rPr>
      </w:pPr>
      <w:r w:rsidRPr="00503872">
        <w:rPr>
          <w:sz w:val="22"/>
        </w:rPr>
        <w:t xml:space="preserve">Discipline of Paediatrics and Child Health, School of Clinical Medicine, UNSW Medicine &amp; Health, UNSW Sydney, Sydney, Australia. </w:t>
      </w:r>
    </w:p>
    <w:p w14:paraId="730F4B48" w14:textId="77777777" w:rsidR="00A16DD4" w:rsidRPr="00503872" w:rsidRDefault="00A16DD4" w:rsidP="00A16DD4">
      <w:pPr>
        <w:pStyle w:val="ListParagraph"/>
        <w:numPr>
          <w:ilvl w:val="0"/>
          <w:numId w:val="41"/>
        </w:numPr>
        <w:spacing w:line="288" w:lineRule="auto"/>
        <w:rPr>
          <w:sz w:val="22"/>
        </w:rPr>
      </w:pPr>
      <w:r w:rsidRPr="00503872">
        <w:rPr>
          <w:sz w:val="22"/>
        </w:rPr>
        <w:t>Stem Cell Medicine Group, Children’s Medical Research Institute, Westmead, Sydney, Australia.</w:t>
      </w:r>
    </w:p>
    <w:p w14:paraId="2CC7FECC" w14:textId="77777777" w:rsidR="00A16DD4" w:rsidRPr="00503872" w:rsidRDefault="00A16DD4" w:rsidP="00A16DD4">
      <w:pPr>
        <w:pStyle w:val="ListParagraph"/>
        <w:numPr>
          <w:ilvl w:val="0"/>
          <w:numId w:val="41"/>
        </w:numPr>
        <w:spacing w:line="288" w:lineRule="auto"/>
        <w:rPr>
          <w:bCs/>
          <w:sz w:val="22"/>
        </w:rPr>
      </w:pPr>
      <w:r w:rsidRPr="00503872">
        <w:rPr>
          <w:sz w:val="22"/>
        </w:rPr>
        <w:t>Department of Audiology and Speech Pathology, Melbourne School of Health Sciences, University of Melbourne, Victoria, Australia.</w:t>
      </w:r>
      <w:r w:rsidRPr="00503872">
        <w:rPr>
          <w:bCs/>
          <w:sz w:val="22"/>
        </w:rPr>
        <w:t xml:space="preserve"> </w:t>
      </w:r>
    </w:p>
    <w:p w14:paraId="0F86927B" w14:textId="77777777" w:rsidR="00A16DD4" w:rsidRPr="00503872" w:rsidRDefault="00A16DD4" w:rsidP="00A16DD4">
      <w:pPr>
        <w:pStyle w:val="ListParagraph"/>
        <w:numPr>
          <w:ilvl w:val="0"/>
          <w:numId w:val="41"/>
        </w:numPr>
        <w:spacing w:before="40" w:after="40" w:line="240" w:lineRule="auto"/>
        <w:rPr>
          <w:rFonts w:cs="Arial"/>
          <w:sz w:val="24"/>
          <w:lang w:val="en-US"/>
        </w:rPr>
      </w:pPr>
      <w:r w:rsidRPr="00503872">
        <w:rPr>
          <w:rFonts w:cs="Arial"/>
          <w:sz w:val="24"/>
          <w:lang w:val="en-US"/>
        </w:rPr>
        <w:t>Monash Health Movement Disorders Clinic, Monash Medical Centre, Clayton VIC Australia 3168.</w:t>
      </w:r>
    </w:p>
    <w:p w14:paraId="1B300935" w14:textId="77777777" w:rsidR="00A16DD4" w:rsidRPr="00A16DD4" w:rsidRDefault="00A16DD4" w:rsidP="00A16DD4">
      <w:pPr>
        <w:pStyle w:val="ListParagraph"/>
        <w:numPr>
          <w:ilvl w:val="0"/>
          <w:numId w:val="41"/>
        </w:numPr>
        <w:spacing w:line="288" w:lineRule="auto"/>
        <w:rPr>
          <w:sz w:val="22"/>
        </w:rPr>
      </w:pPr>
      <w:r w:rsidRPr="00503872">
        <w:rPr>
          <w:bCs/>
          <w:sz w:val="22"/>
        </w:rPr>
        <w:t>Evaluation and Implementation Science Unit, Melbourne School of Population and Global Health, University of Melbourne, Victoria, Australia.</w:t>
      </w:r>
    </w:p>
    <w:p w14:paraId="0FBDF197" w14:textId="6695C83F" w:rsidR="00A16DD4" w:rsidRPr="00A16DD4" w:rsidRDefault="00A16DD4" w:rsidP="00A16DD4">
      <w:pPr>
        <w:pStyle w:val="ListParagraph"/>
        <w:numPr>
          <w:ilvl w:val="0"/>
          <w:numId w:val="41"/>
        </w:numPr>
        <w:spacing w:line="288" w:lineRule="auto"/>
        <w:rPr>
          <w:sz w:val="22"/>
        </w:rPr>
      </w:pPr>
      <w:r w:rsidRPr="00A16DD4">
        <w:rPr>
          <w:bCs/>
          <w:sz w:val="22"/>
        </w:rPr>
        <w:t>Department of Surgery (Ophthalmology), University of Melbourne, East Melbourne, VIC Australia.</w:t>
      </w:r>
    </w:p>
    <w:p w14:paraId="04E9F830" w14:textId="77777777" w:rsidR="00A16DD4" w:rsidRPr="00F903F4" w:rsidRDefault="00A16DD4" w:rsidP="00A16DD4">
      <w:pPr>
        <w:rPr>
          <w:i/>
          <w:iCs/>
          <w:sz w:val="22"/>
        </w:rPr>
      </w:pPr>
      <w:r w:rsidRPr="00DC7FCE">
        <w:rPr>
          <w:i/>
          <w:iCs/>
          <w:sz w:val="22"/>
        </w:rPr>
        <w:t>* Co-senior authors</w:t>
      </w:r>
    </w:p>
    <w:p w14:paraId="435E58F7" w14:textId="77777777" w:rsidR="008701F7" w:rsidRDefault="00ED6592" w:rsidP="00721D8E">
      <w:pPr>
        <w:pStyle w:val="Heading2"/>
        <w:spacing w:after="240"/>
        <w:rPr>
          <w:rFonts w:ascii="Calibri" w:eastAsia="Calibri" w:hAnsi="Calibri"/>
        </w:rPr>
      </w:pPr>
      <w:r w:rsidRPr="00526B42">
        <w:rPr>
          <w:rFonts w:ascii="Calibri" w:eastAsia="Calibri" w:hAnsi="Calibri"/>
        </w:rPr>
        <w:t xml:space="preserve">Contact person </w:t>
      </w:r>
    </w:p>
    <w:p w14:paraId="2727BB7A" w14:textId="34BB6802" w:rsidR="002E5654" w:rsidRDefault="0091451D" w:rsidP="002E5654">
      <w:pPr>
        <w:rPr>
          <w:rFonts w:eastAsia="Calibri"/>
        </w:rPr>
      </w:pPr>
      <w:r>
        <w:rPr>
          <w:rFonts w:eastAsia="Calibri"/>
        </w:rPr>
        <w:t xml:space="preserve">Fleur O’Hare, email: </w:t>
      </w:r>
      <w:hyperlink r:id="rId9" w:history="1">
        <w:r w:rsidRPr="003120F9">
          <w:rPr>
            <w:rStyle w:val="Hyperlink"/>
            <w:rFonts w:eastAsia="Calibri"/>
          </w:rPr>
          <w:t>oharef@unimelb.edu.au</w:t>
        </w:r>
      </w:hyperlink>
    </w:p>
    <w:p w14:paraId="30B9850F" w14:textId="77777777" w:rsidR="0091451D" w:rsidRPr="00526B42" w:rsidRDefault="0091451D" w:rsidP="002E5654">
      <w:pPr>
        <w:rPr>
          <w:rFonts w:eastAsia="Calibri"/>
        </w:rPr>
      </w:pPr>
    </w:p>
    <w:p w14:paraId="435E58FA" w14:textId="76DA12D7" w:rsidR="008701F7" w:rsidRPr="00526B42" w:rsidRDefault="00ED6592" w:rsidP="00721D8E">
      <w:pPr>
        <w:pStyle w:val="Heading2"/>
        <w:spacing w:after="240"/>
      </w:pPr>
      <w:r w:rsidRPr="00526B42">
        <w:lastRenderedPageBreak/>
        <w:t xml:space="preserve">Abstract </w:t>
      </w:r>
    </w:p>
    <w:p w14:paraId="435E58FB" w14:textId="77777777" w:rsidR="008701F7" w:rsidRPr="00526B42" w:rsidRDefault="00ED6592" w:rsidP="00721D8E">
      <w:pPr>
        <w:pStyle w:val="Heading3"/>
        <w:spacing w:after="240"/>
      </w:pPr>
      <w:bookmarkStart w:id="0" w:name="bookmark=id.gjdgxs" w:colFirst="0" w:colLast="0"/>
      <w:bookmarkEnd w:id="0"/>
      <w:r w:rsidRPr="00526B42">
        <w:t xml:space="preserve">Background </w:t>
      </w:r>
    </w:p>
    <w:p w14:paraId="435E58FC" w14:textId="5860A5F1" w:rsidR="008701F7" w:rsidRPr="00526B42" w:rsidRDefault="00D55AE7" w:rsidP="00721D8E">
      <w:pPr>
        <w:rPr>
          <w:rFonts w:eastAsia="Aptos" w:cs="Arial"/>
          <w:kern w:val="2"/>
          <w:szCs w:val="22"/>
          <w:lang w:eastAsia="en-US"/>
        </w:rPr>
      </w:pPr>
      <w:r w:rsidRPr="00526B42">
        <w:rPr>
          <w:rFonts w:eastAsia="Aptos" w:cs="Arial"/>
          <w:kern w:val="2"/>
          <w:szCs w:val="22"/>
          <w:lang w:eastAsia="en-US"/>
        </w:rPr>
        <w:t xml:space="preserve">Providing accessible communication and information in informed consent practice is critical to promoting autonomy and self-determination. Research staff need to be aware of strategies they can employ to tailor their consent practice to meet varied communication preferences and information access needs. </w:t>
      </w:r>
    </w:p>
    <w:p w14:paraId="435E58FD" w14:textId="3667B467" w:rsidR="008701F7" w:rsidRPr="00526B42" w:rsidRDefault="00ED6592" w:rsidP="00721D8E">
      <w:pPr>
        <w:pStyle w:val="Heading3"/>
        <w:spacing w:after="240"/>
      </w:pPr>
      <w:bookmarkStart w:id="1" w:name="bookmark=id.30j0zll" w:colFirst="0" w:colLast="0"/>
      <w:bookmarkEnd w:id="1"/>
      <w:r w:rsidRPr="00526B42">
        <w:t>Objectives</w:t>
      </w:r>
    </w:p>
    <w:p w14:paraId="435E58FE" w14:textId="07B1A7FD" w:rsidR="008701F7" w:rsidRPr="00526B42" w:rsidRDefault="001E5F49" w:rsidP="00721D8E">
      <w:pPr>
        <w:rPr>
          <w:rFonts w:eastAsia="Aptos" w:cs="Arial"/>
          <w:kern w:val="2"/>
          <w:szCs w:val="22"/>
          <w:lang w:eastAsia="en-US"/>
        </w:rPr>
      </w:pPr>
      <w:r w:rsidRPr="00526B42">
        <w:rPr>
          <w:rFonts w:eastAsia="Aptos" w:cs="Arial"/>
          <w:kern w:val="2"/>
          <w:szCs w:val="22"/>
          <w:lang w:eastAsia="en-US"/>
        </w:rPr>
        <w:t xml:space="preserve">This systematic review </w:t>
      </w:r>
      <w:r w:rsidR="007D3AE0" w:rsidRPr="00526B42">
        <w:rPr>
          <w:rFonts w:eastAsia="Aptos" w:cs="Arial"/>
          <w:kern w:val="2"/>
          <w:szCs w:val="22"/>
          <w:lang w:eastAsia="en-US"/>
        </w:rPr>
        <w:t>identified</w:t>
      </w:r>
      <w:r w:rsidRPr="00526B42">
        <w:rPr>
          <w:rFonts w:eastAsia="Aptos" w:cs="Arial"/>
          <w:kern w:val="2"/>
          <w:szCs w:val="22"/>
          <w:lang w:eastAsia="en-US"/>
        </w:rPr>
        <w:t xml:space="preserve"> strategies to enhance information access during the informed consent process, </w:t>
      </w:r>
      <w:r w:rsidR="003D25A7" w:rsidRPr="00526B42">
        <w:rPr>
          <w:rFonts w:eastAsia="Aptos" w:cs="Arial"/>
          <w:kern w:val="2"/>
          <w:szCs w:val="22"/>
          <w:lang w:eastAsia="en-US"/>
        </w:rPr>
        <w:t>enabling</w:t>
      </w:r>
      <w:r w:rsidRPr="00526B42">
        <w:rPr>
          <w:rFonts w:eastAsia="Aptos" w:cs="Arial"/>
          <w:kern w:val="2"/>
          <w:szCs w:val="22"/>
          <w:lang w:eastAsia="en-US"/>
        </w:rPr>
        <w:t xml:space="preserve"> greater research participation with people who have </w:t>
      </w:r>
      <w:r w:rsidR="00CF14F4">
        <w:rPr>
          <w:rFonts w:eastAsia="Aptos" w:cs="Arial"/>
          <w:kern w:val="2"/>
          <w:szCs w:val="22"/>
          <w:lang w:eastAsia="en-US"/>
        </w:rPr>
        <w:t xml:space="preserve">diverse </w:t>
      </w:r>
      <w:r w:rsidRPr="00526B42">
        <w:rPr>
          <w:rFonts w:eastAsia="Aptos" w:cs="Arial"/>
          <w:kern w:val="2"/>
          <w:szCs w:val="22"/>
          <w:lang w:eastAsia="en-US"/>
        </w:rPr>
        <w:t xml:space="preserve">vision and/or hearing </w:t>
      </w:r>
      <w:r w:rsidR="00CF14F4">
        <w:rPr>
          <w:rFonts w:eastAsia="Aptos" w:cs="Arial"/>
          <w:kern w:val="2"/>
          <w:szCs w:val="22"/>
          <w:lang w:eastAsia="en-US"/>
        </w:rPr>
        <w:t>differences</w:t>
      </w:r>
      <w:r w:rsidRPr="00526B42">
        <w:rPr>
          <w:rFonts w:eastAsia="Aptos" w:cs="Arial"/>
          <w:kern w:val="2"/>
          <w:szCs w:val="22"/>
          <w:lang w:eastAsia="en-US"/>
        </w:rPr>
        <w:t>.</w:t>
      </w:r>
    </w:p>
    <w:p w14:paraId="435E58FF" w14:textId="77777777" w:rsidR="008701F7" w:rsidRPr="00526B42" w:rsidRDefault="00ED6592" w:rsidP="00721D8E">
      <w:pPr>
        <w:pStyle w:val="Heading3"/>
        <w:spacing w:after="240"/>
      </w:pPr>
      <w:bookmarkStart w:id="2" w:name="bookmark=id.1fob9te" w:colFirst="0" w:colLast="0"/>
      <w:bookmarkEnd w:id="2"/>
      <w:r w:rsidRPr="00526B42">
        <w:t xml:space="preserve">Search methods </w:t>
      </w:r>
    </w:p>
    <w:p w14:paraId="435E5900" w14:textId="45865CC4" w:rsidR="008701F7" w:rsidRPr="00526B42" w:rsidRDefault="00721D8E" w:rsidP="009B461E">
      <w:r w:rsidRPr="00526B42">
        <w:rPr>
          <w:rFonts w:eastAsia="Aptos"/>
          <w:lang w:eastAsia="en-US"/>
        </w:rPr>
        <w:t xml:space="preserve">Electronic databases searched were Medline (Ovid), Scopus, PsycINFO (Ovid), Embase (Ovid) and CINAHL (EBSCO). Additional articles were obtained from Google Scholar and citation searching of included papers. </w:t>
      </w:r>
    </w:p>
    <w:p w14:paraId="435E5901" w14:textId="77777777" w:rsidR="008701F7" w:rsidRPr="00526B42" w:rsidRDefault="00ED6592" w:rsidP="00721D8E">
      <w:pPr>
        <w:pStyle w:val="Heading3"/>
        <w:spacing w:after="240"/>
      </w:pPr>
      <w:bookmarkStart w:id="3" w:name="bookmark=id.3znysh7" w:colFirst="0" w:colLast="0"/>
      <w:bookmarkEnd w:id="3"/>
      <w:r w:rsidRPr="00526B42">
        <w:t xml:space="preserve">Selection criteria </w:t>
      </w:r>
    </w:p>
    <w:p w14:paraId="435E5902" w14:textId="4EA1AC76" w:rsidR="008701F7" w:rsidRPr="00526B42" w:rsidRDefault="00EB54C8" w:rsidP="00721D8E">
      <w:pPr>
        <w:rPr>
          <w:rFonts w:cs="Arial"/>
        </w:rPr>
      </w:pPr>
      <w:r w:rsidRPr="00526B42">
        <w:rPr>
          <w:rFonts w:cs="Arial"/>
        </w:rPr>
        <w:t xml:space="preserve">Peer-reviewed original research published from the year 2000 onward that reported qualitative or quantitative findings were included in the review. The studies </w:t>
      </w:r>
      <w:r w:rsidR="00677519" w:rsidRPr="00526B42">
        <w:rPr>
          <w:rFonts w:cs="Arial"/>
        </w:rPr>
        <w:t>were required</w:t>
      </w:r>
      <w:r w:rsidRPr="00526B42">
        <w:rPr>
          <w:rFonts w:cs="Arial"/>
        </w:rPr>
        <w:t xml:space="preserve"> to focus on involving people with </w:t>
      </w:r>
      <w:r w:rsidR="00AE59A9">
        <w:rPr>
          <w:rFonts w:cs="Arial"/>
        </w:rPr>
        <w:t>a range of</w:t>
      </w:r>
      <w:r w:rsidRPr="00526B42">
        <w:rPr>
          <w:rFonts w:cs="Arial"/>
        </w:rPr>
        <w:t xml:space="preserve"> vision and/or hearing</w:t>
      </w:r>
      <w:r w:rsidR="00AE59A9">
        <w:rPr>
          <w:rFonts w:cs="Arial"/>
        </w:rPr>
        <w:t xml:space="preserve"> differences</w:t>
      </w:r>
      <w:r w:rsidRPr="00526B42">
        <w:rPr>
          <w:rFonts w:cs="Arial"/>
        </w:rPr>
        <w:t xml:space="preserve">. </w:t>
      </w:r>
    </w:p>
    <w:p w14:paraId="435E5903" w14:textId="77777777" w:rsidR="008701F7" w:rsidRPr="00526B42" w:rsidRDefault="00ED6592" w:rsidP="00721D8E">
      <w:pPr>
        <w:pStyle w:val="Heading3"/>
        <w:spacing w:after="240"/>
      </w:pPr>
      <w:bookmarkStart w:id="4" w:name="bookmark=id.2et92p0" w:colFirst="0" w:colLast="0"/>
      <w:bookmarkEnd w:id="4"/>
      <w:r w:rsidRPr="00526B42">
        <w:t xml:space="preserve">Data collection and analysis </w:t>
      </w:r>
    </w:p>
    <w:p w14:paraId="435E5904" w14:textId="0A5FEF5A" w:rsidR="008701F7" w:rsidRPr="00526B42" w:rsidRDefault="0045450B" w:rsidP="00721D8E">
      <w:pPr>
        <w:rPr>
          <w:rFonts w:cs="Arial"/>
        </w:rPr>
      </w:pPr>
      <w:r w:rsidRPr="00526B42">
        <w:rPr>
          <w:rFonts w:cs="Arial"/>
        </w:rPr>
        <w:t xml:space="preserve">The quality of </w:t>
      </w:r>
      <w:r w:rsidR="007E6934" w:rsidRPr="00526B42">
        <w:rPr>
          <w:rFonts w:cs="Arial"/>
        </w:rPr>
        <w:t>reporting</w:t>
      </w:r>
      <w:r w:rsidRPr="00526B42">
        <w:rPr>
          <w:rFonts w:cs="Arial"/>
        </w:rPr>
        <w:t xml:space="preserve"> was assessed using the QualSyst</w:t>
      </w:r>
      <w:r w:rsidRPr="009907FC">
        <w:rPr>
          <w:rFonts w:cs="Arial"/>
        </w:rPr>
        <w:t xml:space="preserve"> and GRADE CERQual approaches. Main findings were deductively mapped to the Consolidated Framework for Implementation Research (CFIR) and related logic model. The synthesis process was structured using a meta-aggregation approach that resulted in generalizable statements </w:t>
      </w:r>
      <w:r w:rsidR="00A13BEC" w:rsidRPr="00526B42">
        <w:rPr>
          <w:rFonts w:cs="Arial"/>
        </w:rPr>
        <w:t>(‘Principles’)</w:t>
      </w:r>
      <w:r w:rsidRPr="00526B42">
        <w:rPr>
          <w:rFonts w:cs="Arial"/>
        </w:rPr>
        <w:t xml:space="preserve"> representing the original intent of the studies from which they were drawn.</w:t>
      </w:r>
    </w:p>
    <w:p w14:paraId="435E5905" w14:textId="77777777" w:rsidR="008701F7" w:rsidRPr="00526B42" w:rsidRDefault="00ED6592" w:rsidP="00721D8E">
      <w:pPr>
        <w:pStyle w:val="Heading3"/>
        <w:spacing w:after="240"/>
      </w:pPr>
      <w:bookmarkStart w:id="5" w:name="bookmark=id.tyjcwt" w:colFirst="0" w:colLast="0"/>
      <w:bookmarkEnd w:id="5"/>
      <w:r w:rsidRPr="00526B42">
        <w:t xml:space="preserve">Main results </w:t>
      </w:r>
    </w:p>
    <w:p w14:paraId="435E5906" w14:textId="4E795192" w:rsidR="008701F7" w:rsidRPr="00526B42" w:rsidRDefault="00B17988" w:rsidP="00721D8E">
      <w:pPr>
        <w:rPr>
          <w:rFonts w:cs="Arial"/>
        </w:rPr>
      </w:pPr>
      <w:r w:rsidRPr="00526B42">
        <w:rPr>
          <w:rFonts w:cs="Arial"/>
        </w:rPr>
        <w:t>From 12,121 articles identified, 6,951 publications were screened. Of these,</w:t>
      </w:r>
      <w:r w:rsidR="00E506AD" w:rsidRPr="00526B42">
        <w:rPr>
          <w:rFonts w:cs="Arial"/>
        </w:rPr>
        <w:t xml:space="preserve"> </w:t>
      </w:r>
      <w:r w:rsidRPr="00526B42">
        <w:rPr>
          <w:rFonts w:cs="Arial"/>
        </w:rPr>
        <w:t xml:space="preserve">143 had a full-text review and 19 studies were included in the final synthesis - 15 qualitative and 4 quantitative research designs. Data were categorized as determinants, implementation strategies, mechanisms and outcomes. Most were tailored implementation strategies. Aggregation resulted in eight synthesized </w:t>
      </w:r>
      <w:r w:rsidR="00BB14EC" w:rsidRPr="00526B42">
        <w:rPr>
          <w:rFonts w:cs="Arial"/>
        </w:rPr>
        <w:t>‘</w:t>
      </w:r>
      <w:r w:rsidR="0020374C" w:rsidRPr="00526B42">
        <w:rPr>
          <w:rFonts w:cs="Arial"/>
        </w:rPr>
        <w:t>P</w:t>
      </w:r>
      <w:r w:rsidRPr="00526B42">
        <w:rPr>
          <w:rFonts w:cs="Arial"/>
        </w:rPr>
        <w:t>rinciples for enabling information access during an informed consent process</w:t>
      </w:r>
      <w:r w:rsidR="00C441F7" w:rsidRPr="00526B42">
        <w:rPr>
          <w:rFonts w:cs="Arial"/>
        </w:rPr>
        <w:t>’</w:t>
      </w:r>
      <w:r w:rsidR="00833F69" w:rsidRPr="00526B42">
        <w:rPr>
          <w:rFonts w:cs="Arial"/>
        </w:rPr>
        <w:t xml:space="preserve"> (</w:t>
      </w:r>
      <w:r w:rsidR="00C91767" w:rsidRPr="00526B42">
        <w:rPr>
          <w:rFonts w:cs="Arial"/>
        </w:rPr>
        <w:t>referred to as Principles)</w:t>
      </w:r>
      <w:r w:rsidRPr="00526B42">
        <w:rPr>
          <w:rFonts w:cs="Arial"/>
        </w:rPr>
        <w:t xml:space="preserve">. </w:t>
      </w:r>
      <w:r w:rsidR="001B663E" w:rsidRPr="00526B42">
        <w:rPr>
          <w:rFonts w:cs="Arial"/>
        </w:rPr>
        <w:t xml:space="preserve">The </w:t>
      </w:r>
      <w:proofErr w:type="gramStart"/>
      <w:r w:rsidR="00077D72" w:rsidRPr="00526B42">
        <w:rPr>
          <w:rFonts w:cs="Arial"/>
        </w:rPr>
        <w:t>P</w:t>
      </w:r>
      <w:r w:rsidRPr="00526B42">
        <w:rPr>
          <w:rFonts w:cs="Arial"/>
        </w:rPr>
        <w:t>rinciples</w:t>
      </w:r>
      <w:proofErr w:type="gramEnd"/>
      <w:r w:rsidRPr="00526B42">
        <w:rPr>
          <w:rFonts w:cs="Arial"/>
        </w:rPr>
        <w:t xml:space="preserve"> formed the basis for our review recommendations for practice and policy.</w:t>
      </w:r>
    </w:p>
    <w:p w14:paraId="435E5907" w14:textId="77777777" w:rsidR="008701F7" w:rsidRPr="00526B42" w:rsidRDefault="00ED6592" w:rsidP="00721D8E">
      <w:pPr>
        <w:pStyle w:val="Heading3"/>
        <w:spacing w:after="240"/>
      </w:pPr>
      <w:bookmarkStart w:id="6" w:name="bookmark=id.3dy6vkm" w:colFirst="0" w:colLast="0"/>
      <w:bookmarkEnd w:id="6"/>
      <w:r w:rsidRPr="00526B42">
        <w:t xml:space="preserve">Authors' conclusions </w:t>
      </w:r>
    </w:p>
    <w:p w14:paraId="435E5908" w14:textId="563BB413" w:rsidR="008701F7" w:rsidRPr="00526B42" w:rsidRDefault="00420B8E" w:rsidP="00721D8E">
      <w:pPr>
        <w:rPr>
          <w:rFonts w:cs="Arial"/>
        </w:rPr>
      </w:pPr>
      <w:r w:rsidRPr="00526B42">
        <w:rPr>
          <w:rFonts w:cs="Arial"/>
        </w:rPr>
        <w:t>Our</w:t>
      </w:r>
      <w:r w:rsidR="003A5275" w:rsidRPr="00526B42">
        <w:rPr>
          <w:rFonts w:cs="Arial"/>
        </w:rPr>
        <w:t xml:space="preserve"> review highlights e</w:t>
      </w:r>
      <w:r w:rsidR="006A32B8" w:rsidRPr="00526B42">
        <w:rPr>
          <w:rFonts w:cs="Arial"/>
        </w:rPr>
        <w:t xml:space="preserve">ight </w:t>
      </w:r>
      <w:r w:rsidR="00A9062B" w:rsidRPr="00526B42">
        <w:rPr>
          <w:rFonts w:cs="Arial"/>
        </w:rPr>
        <w:t>P</w:t>
      </w:r>
      <w:r w:rsidR="006A32B8" w:rsidRPr="00526B42">
        <w:rPr>
          <w:rFonts w:cs="Arial"/>
        </w:rPr>
        <w:t xml:space="preserve">rinciples to support research staff, practitioners, and policy makers in </w:t>
      </w:r>
      <w:r w:rsidR="00313395" w:rsidRPr="00526B42">
        <w:rPr>
          <w:rFonts w:cs="Arial"/>
        </w:rPr>
        <w:t xml:space="preserve">delivering </w:t>
      </w:r>
      <w:r w:rsidR="006A32B8" w:rsidRPr="00526B42">
        <w:rPr>
          <w:rFonts w:cs="Arial"/>
        </w:rPr>
        <w:t xml:space="preserve">an accessible and inclusive informed consent process. </w:t>
      </w:r>
      <w:r w:rsidR="004E1224" w:rsidRPr="00526B42">
        <w:rPr>
          <w:rFonts w:cs="Arial"/>
        </w:rPr>
        <w:t xml:space="preserve">The </w:t>
      </w:r>
      <w:proofErr w:type="gramStart"/>
      <w:r w:rsidR="00127567" w:rsidRPr="00526B42">
        <w:rPr>
          <w:rFonts w:cs="Arial"/>
        </w:rPr>
        <w:t>P</w:t>
      </w:r>
      <w:r w:rsidR="006A32B8" w:rsidRPr="00526B42">
        <w:rPr>
          <w:rFonts w:cs="Arial"/>
        </w:rPr>
        <w:t>rinciples</w:t>
      </w:r>
      <w:proofErr w:type="gramEnd"/>
      <w:r w:rsidR="006A32B8" w:rsidRPr="00526B42">
        <w:rPr>
          <w:rFonts w:cs="Arial"/>
        </w:rPr>
        <w:t xml:space="preserve"> are intended to be adaptable to local context and population needs. </w:t>
      </w:r>
      <w:r w:rsidR="00313395" w:rsidRPr="00526B42">
        <w:rPr>
          <w:rFonts w:cs="Arial"/>
        </w:rPr>
        <w:t>Our</w:t>
      </w:r>
      <w:r w:rsidR="006A32B8" w:rsidRPr="00526B42">
        <w:rPr>
          <w:rFonts w:cs="Arial"/>
        </w:rPr>
        <w:t xml:space="preserve"> review supports future work to measure the impact of implementation of these </w:t>
      </w:r>
      <w:r w:rsidR="00396D5A" w:rsidRPr="00526B42">
        <w:rPr>
          <w:rFonts w:cs="Arial"/>
        </w:rPr>
        <w:t>P</w:t>
      </w:r>
      <w:r w:rsidR="006A32B8" w:rsidRPr="00526B42">
        <w:rPr>
          <w:rFonts w:cs="Arial"/>
        </w:rPr>
        <w:t>rinciples with a particular focus on implementation outcomes of acceptability, appropriateness, feasibility and sustainability. This review spans 25 years of literature and provides a fundamental roadmap for the way forward in embedding information accessibility strategies into routine informed consent practices.</w:t>
      </w:r>
    </w:p>
    <w:p w14:paraId="435E5909" w14:textId="77777777" w:rsidR="008701F7" w:rsidRPr="00526B42" w:rsidRDefault="00ED6592" w:rsidP="00721D8E">
      <w:pPr>
        <w:pStyle w:val="Heading2"/>
        <w:spacing w:after="240"/>
      </w:pPr>
      <w:r w:rsidRPr="00526B42">
        <w:t xml:space="preserve">Plain language summary </w:t>
      </w:r>
    </w:p>
    <w:p w14:paraId="7FCC00E4" w14:textId="34D376D0" w:rsidR="00DA57FF" w:rsidRPr="00526B42" w:rsidRDefault="00DA57FF" w:rsidP="00DA57FF">
      <w:r w:rsidRPr="00526B42">
        <w:t xml:space="preserve">Making sure people understand the information given during the informed consent process for research studies is </w:t>
      </w:r>
      <w:r w:rsidR="008A567A" w:rsidRPr="00526B42">
        <w:t>essential</w:t>
      </w:r>
      <w:r w:rsidR="00CE1EB2" w:rsidRPr="00526B42">
        <w:t>.</w:t>
      </w:r>
      <w:r w:rsidRPr="00526B42">
        <w:t xml:space="preserve"> It allows people to make their own choices about participating. Researchers need strategies to tailor the consent process for different communication needs and preferences </w:t>
      </w:r>
      <w:r w:rsidR="0004471F">
        <w:t>for</w:t>
      </w:r>
      <w:r w:rsidRPr="00526B42">
        <w:t xml:space="preserve"> accessing information.</w:t>
      </w:r>
    </w:p>
    <w:p w14:paraId="504B1A19" w14:textId="45486188" w:rsidR="00DA57FF" w:rsidRPr="00526B42" w:rsidRDefault="00DA57FF" w:rsidP="00DA57FF">
      <w:r w:rsidRPr="00526B42">
        <w:t xml:space="preserve">This systematic review </w:t>
      </w:r>
      <w:r w:rsidR="00AA15EB" w:rsidRPr="00526B42">
        <w:t>identified</w:t>
      </w:r>
      <w:r w:rsidRPr="00526B42">
        <w:t xml:space="preserve"> strategies used to improve access to information during informed consent. The goal was to focus on </w:t>
      </w:r>
      <w:r w:rsidR="00F74453" w:rsidRPr="00526B42">
        <w:t>approaches</w:t>
      </w:r>
      <w:r w:rsidRPr="00526B42">
        <w:t xml:space="preserve"> </w:t>
      </w:r>
      <w:r w:rsidR="002F0B80" w:rsidRPr="00526B42">
        <w:t xml:space="preserve">that </w:t>
      </w:r>
      <w:r w:rsidR="00092807" w:rsidRPr="00526B42">
        <w:t>support</w:t>
      </w:r>
      <w:r w:rsidR="002F0B80" w:rsidRPr="00526B42">
        <w:t xml:space="preserve"> </w:t>
      </w:r>
      <w:r w:rsidRPr="00526B42">
        <w:t xml:space="preserve">greater research participation for people with </w:t>
      </w:r>
      <w:r w:rsidR="00727358">
        <w:t xml:space="preserve">a range of </w:t>
      </w:r>
      <w:r w:rsidRPr="00526B42">
        <w:t>vision and/or hearing</w:t>
      </w:r>
      <w:r w:rsidR="00AC3A42">
        <w:t xml:space="preserve"> </w:t>
      </w:r>
      <w:r w:rsidR="00573256">
        <w:t>differences</w:t>
      </w:r>
      <w:r w:rsidRPr="00526B42">
        <w:t>.</w:t>
      </w:r>
    </w:p>
    <w:p w14:paraId="6C3500E1" w14:textId="04D268D0" w:rsidR="00DA57FF" w:rsidRPr="00526B42" w:rsidRDefault="00DA57FF" w:rsidP="00DA57FF">
      <w:r w:rsidRPr="00526B42">
        <w:t xml:space="preserve">We searched five major databases, Google Scholar, and reference lists of included studies. Peer-reviewed original research published from 2000 onward that reported qualitative or quantitative findings were included. The studies had to involve people with vision and/or hearing </w:t>
      </w:r>
      <w:r w:rsidR="00727358">
        <w:t>differences</w:t>
      </w:r>
      <w:r w:rsidRPr="00526B42">
        <w:t>.</w:t>
      </w:r>
    </w:p>
    <w:p w14:paraId="4A567213" w14:textId="0230E16B" w:rsidR="00DA57FF" w:rsidRPr="00526B42" w:rsidRDefault="00DA57FF" w:rsidP="00DA57FF">
      <w:r w:rsidRPr="00526B42">
        <w:t>From over 12,000 initially identified articles, 143 had a full-text review, and 19 studies were ultimately included</w:t>
      </w:r>
      <w:r w:rsidR="000C51BF" w:rsidRPr="00526B42">
        <w:t xml:space="preserve">: </w:t>
      </w:r>
      <w:r w:rsidRPr="00526B42">
        <w:t xml:space="preserve">15 qualitative and 4 quantitative designs. </w:t>
      </w:r>
      <w:r w:rsidR="00792C98" w:rsidRPr="00792C98">
        <w:rPr>
          <w:rFonts w:ascii="Segoe UI" w:eastAsia="Times New Roman" w:hAnsi="Segoe UI" w:cs="Segoe UI"/>
          <w:sz w:val="21"/>
          <w:szCs w:val="21"/>
        </w:rPr>
        <w:t xml:space="preserve"> </w:t>
      </w:r>
      <w:r w:rsidR="00F12698" w:rsidRPr="00526B42">
        <w:t xml:space="preserve">The quality of reporting for each study was assessed using standard approaches. </w:t>
      </w:r>
      <w:r w:rsidR="00792C98" w:rsidRPr="00792C98">
        <w:t xml:space="preserve">We grouped </w:t>
      </w:r>
      <w:r w:rsidR="00395594">
        <w:t>the</w:t>
      </w:r>
      <w:r w:rsidR="00C851FD">
        <w:t xml:space="preserve"> main </w:t>
      </w:r>
      <w:r w:rsidR="00792C98" w:rsidRPr="00792C98">
        <w:t>findings</w:t>
      </w:r>
      <w:r w:rsidR="00395594">
        <w:t xml:space="preserve"> from each study</w:t>
      </w:r>
      <w:r w:rsidR="00792C98" w:rsidRPr="00792C98">
        <w:t xml:space="preserve"> into categories. We then looked for common concepts, patterns, and areas where findings varied across studies.</w:t>
      </w:r>
      <w:r w:rsidR="00F12698">
        <w:t xml:space="preserve"> </w:t>
      </w:r>
      <w:r w:rsidRPr="00526B42">
        <w:t xml:space="preserve">Through aggregation, 8 </w:t>
      </w:r>
      <w:r w:rsidR="00243C23" w:rsidRPr="00526B42">
        <w:t xml:space="preserve">core </w:t>
      </w:r>
      <w:r w:rsidRPr="00526B42">
        <w:t>Principles were derived for enabling information access during informed consent. These Principles formed recommendations for practice and policy.</w:t>
      </w:r>
      <w:r w:rsidR="00A77C3A" w:rsidRPr="00526B42">
        <w:t xml:space="preserve"> </w:t>
      </w:r>
      <w:r w:rsidR="004F283E" w:rsidRPr="00526B42">
        <w:t>They</w:t>
      </w:r>
      <w:r w:rsidRPr="00526B42">
        <w:t xml:space="preserve"> aim to support researchers, practitioners, and policymakers in offering accessible and inclusive informed consent. They </w:t>
      </w:r>
      <w:r w:rsidR="00A77C3A" w:rsidRPr="00526B42">
        <w:t>can be</w:t>
      </w:r>
      <w:r w:rsidRPr="00526B42">
        <w:t xml:space="preserve"> adapt</w:t>
      </w:r>
      <w:r w:rsidR="00A77C3A" w:rsidRPr="00526B42">
        <w:t>ed</w:t>
      </w:r>
      <w:r w:rsidRPr="00526B42">
        <w:t xml:space="preserve"> to local contexts and population needs.</w:t>
      </w:r>
    </w:p>
    <w:p w14:paraId="71631BC4" w14:textId="415104EA" w:rsidR="00DA57FF" w:rsidRPr="00526B42" w:rsidRDefault="00DA57FF" w:rsidP="00DA57FF">
      <w:r w:rsidRPr="00526B42">
        <w:t xml:space="preserve">This 25-year literature review provides a fundamental roadmap for embedding accessibility strategies into routine informed consent practices. </w:t>
      </w:r>
      <w:r w:rsidR="007E2D09" w:rsidRPr="00526B42">
        <w:t xml:space="preserve">We </w:t>
      </w:r>
      <w:r w:rsidRPr="00526B42">
        <w:t xml:space="preserve">recommend future work measuring the impact of implementing these </w:t>
      </w:r>
      <w:r w:rsidR="007E2D09" w:rsidRPr="00526B42">
        <w:t>P</w:t>
      </w:r>
      <w:r w:rsidRPr="00526B42">
        <w:t>rinciples, particularly acceptability, appropriateness, feasibility and sustainability</w:t>
      </w:r>
      <w:r w:rsidR="00A02E94">
        <w:t>.</w:t>
      </w:r>
    </w:p>
    <w:p w14:paraId="435E590C" w14:textId="77777777" w:rsidR="008701F7" w:rsidRPr="00526B42" w:rsidRDefault="00ED6592" w:rsidP="00721D8E">
      <w:pPr>
        <w:pStyle w:val="Heading3"/>
        <w:spacing w:after="240"/>
      </w:pPr>
      <w:r w:rsidRPr="00526B42">
        <w:t xml:space="preserve">Declarative title: </w:t>
      </w:r>
    </w:p>
    <w:p w14:paraId="435E590F" w14:textId="66185B32" w:rsidR="008701F7" w:rsidRPr="00526B42" w:rsidRDefault="00783AB6" w:rsidP="00721D8E">
      <w:r w:rsidRPr="00526B42">
        <w:t xml:space="preserve">Our review </w:t>
      </w:r>
      <w:r w:rsidR="004314B1" w:rsidRPr="00526B42">
        <w:t>highlights k</w:t>
      </w:r>
      <w:r w:rsidR="003E4224" w:rsidRPr="00526B42">
        <w:t>ey best practices</w:t>
      </w:r>
      <w:r w:rsidR="004314B1" w:rsidRPr="00526B42">
        <w:t>, including p</w:t>
      </w:r>
      <w:r w:rsidR="00FE3935" w:rsidRPr="00526B42">
        <w:t>artnering with the priority community</w:t>
      </w:r>
      <w:r w:rsidR="004314B1" w:rsidRPr="00526B42">
        <w:t xml:space="preserve"> (p</w:t>
      </w:r>
      <w:r w:rsidR="00A54A53" w:rsidRPr="00526B42">
        <w:t>opulation of interest)</w:t>
      </w:r>
      <w:r w:rsidR="00FE3935" w:rsidRPr="00526B42">
        <w:t>, avoiding assumptions about a one-size-fits-all format, anticipating unknown access needs, and striving for universal accessibility and inclusion</w:t>
      </w:r>
      <w:r w:rsidR="00A54A53" w:rsidRPr="00526B42">
        <w:t>.</w:t>
      </w:r>
      <w:r w:rsidR="00FE3935" w:rsidRPr="00526B42">
        <w:t xml:space="preserve"> </w:t>
      </w:r>
    </w:p>
    <w:p w14:paraId="435E5910" w14:textId="77777777" w:rsidR="008701F7" w:rsidRPr="00526B42" w:rsidRDefault="00ED6592" w:rsidP="00721D8E">
      <w:pPr>
        <w:pStyle w:val="Heading3"/>
        <w:spacing w:after="240"/>
      </w:pPr>
      <w:r w:rsidRPr="00526B42">
        <w:t>The review in brief</w:t>
      </w:r>
    </w:p>
    <w:p w14:paraId="626CA916" w14:textId="2626313B" w:rsidR="008B5C11" w:rsidRPr="00526B42" w:rsidRDefault="008B5C11" w:rsidP="008B5C11">
      <w:r w:rsidRPr="00526B42">
        <w:t xml:space="preserve">This review highlights a set of </w:t>
      </w:r>
      <w:r w:rsidR="00DF24AA" w:rsidRPr="00526B42">
        <w:t>8</w:t>
      </w:r>
      <w:r w:rsidRPr="00526B42">
        <w:t xml:space="preserve"> clear </w:t>
      </w:r>
      <w:r w:rsidR="00DF24AA" w:rsidRPr="00526B42">
        <w:t>action P</w:t>
      </w:r>
      <w:r w:rsidRPr="00526B42">
        <w:t xml:space="preserve">rinciples that support research staff and clinicians in enabling </w:t>
      </w:r>
      <w:r w:rsidR="00472E32">
        <w:t xml:space="preserve">accessible </w:t>
      </w:r>
      <w:r w:rsidRPr="00526B42">
        <w:t xml:space="preserve">information </w:t>
      </w:r>
      <w:r w:rsidR="00BB1743">
        <w:t>to support i</w:t>
      </w:r>
      <w:r w:rsidR="00E001CF">
        <w:t>nclusive informed consent practices</w:t>
      </w:r>
      <w:r w:rsidR="00304E71">
        <w:t>,</w:t>
      </w:r>
      <w:r w:rsidR="00E001CF">
        <w:t xml:space="preserve"> while </w:t>
      </w:r>
      <w:r w:rsidRPr="00526B42">
        <w:t xml:space="preserve">respecting </w:t>
      </w:r>
      <w:r w:rsidR="00304E71">
        <w:t>diverse</w:t>
      </w:r>
      <w:r w:rsidRPr="00526B42">
        <w:t xml:space="preserve"> </w:t>
      </w:r>
      <w:r w:rsidR="00DE6858" w:rsidRPr="00526B42">
        <w:t xml:space="preserve">sensory </w:t>
      </w:r>
      <w:r w:rsidRPr="00526B42">
        <w:t>abilities, identit</w:t>
      </w:r>
      <w:r w:rsidR="00304E71">
        <w:t>ies</w:t>
      </w:r>
      <w:r w:rsidRPr="00526B42">
        <w:t xml:space="preserve"> and cultur</w:t>
      </w:r>
      <w:r w:rsidR="00304E71">
        <w:t>al contexts</w:t>
      </w:r>
      <w:r w:rsidRPr="00526B42">
        <w:t>.</w:t>
      </w:r>
    </w:p>
    <w:p w14:paraId="435E5914" w14:textId="2B512106" w:rsidR="008701F7" w:rsidRPr="00526B42" w:rsidRDefault="00ED6592" w:rsidP="00721D8E">
      <w:pPr>
        <w:pStyle w:val="Heading3"/>
        <w:spacing w:after="240"/>
      </w:pPr>
      <w:r w:rsidRPr="00526B42">
        <w:t>What is this review about?</w:t>
      </w:r>
    </w:p>
    <w:p w14:paraId="435E591A" w14:textId="59C7F5E4" w:rsidR="008701F7" w:rsidRPr="00526B42" w:rsidRDefault="005624D4" w:rsidP="00721D8E">
      <w:r w:rsidRPr="00526B42">
        <w:t>Despite domestic and international law, p</w:t>
      </w:r>
      <w:r w:rsidR="00E53B22" w:rsidRPr="00526B42">
        <w:t>eople</w:t>
      </w:r>
      <w:r w:rsidR="00693E9E" w:rsidRPr="00526B42">
        <w:t xml:space="preserve"> with </w:t>
      </w:r>
      <w:r w:rsidR="007A3CBA">
        <w:t xml:space="preserve">diverse </w:t>
      </w:r>
      <w:r w:rsidR="00693E9E" w:rsidRPr="00526B42">
        <w:t xml:space="preserve">vision and hearing </w:t>
      </w:r>
      <w:r w:rsidR="007A3CBA">
        <w:t>differences</w:t>
      </w:r>
      <w:r w:rsidR="007A3CBA" w:rsidRPr="00526B42">
        <w:t xml:space="preserve"> </w:t>
      </w:r>
      <w:r w:rsidR="00693E9E" w:rsidRPr="00526B42">
        <w:t xml:space="preserve">encounter regular barriers to </w:t>
      </w:r>
      <w:r w:rsidR="001436E9" w:rsidRPr="00526B42">
        <w:t>accessing information</w:t>
      </w:r>
      <w:r w:rsidR="0074617E" w:rsidRPr="00526B42">
        <w:t>. Th</w:t>
      </w:r>
      <w:r w:rsidR="008A7456" w:rsidRPr="00526B42">
        <w:t>is</w:t>
      </w:r>
      <w:r w:rsidR="0074617E" w:rsidRPr="00526B42">
        <w:t xml:space="preserve"> review </w:t>
      </w:r>
      <w:r w:rsidR="00E553BB" w:rsidRPr="00526B42">
        <w:t>examines</w:t>
      </w:r>
      <w:r w:rsidR="00D40B3C" w:rsidRPr="00526B42">
        <w:t xml:space="preserve"> the context of informed consent and </w:t>
      </w:r>
      <w:r w:rsidR="00E553BB" w:rsidRPr="00526B42">
        <w:t>evaluates</w:t>
      </w:r>
      <w:r w:rsidR="00D40B3C" w:rsidRPr="00526B42">
        <w:t xml:space="preserve"> the</w:t>
      </w:r>
      <w:r w:rsidR="0074617E" w:rsidRPr="00526B42">
        <w:t xml:space="preserve"> approaches</w:t>
      </w:r>
      <w:r w:rsidR="00521802" w:rsidRPr="00526B42">
        <w:t xml:space="preserve"> </w:t>
      </w:r>
      <w:r w:rsidR="00E30F2F" w:rsidRPr="00526B42">
        <w:t>taken to enhance inclusion and accessibility during th</w:t>
      </w:r>
      <w:r w:rsidR="00521802" w:rsidRPr="00526B42">
        <w:t>is</w:t>
      </w:r>
      <w:r w:rsidR="00E30F2F" w:rsidRPr="00526B42">
        <w:t xml:space="preserve"> process. </w:t>
      </w:r>
      <w:r w:rsidR="00A07498" w:rsidRPr="00526B42">
        <w:rPr>
          <w:rFonts w:cs="Arial"/>
        </w:rPr>
        <w:t>Critically our review findings reinforce, rather than reduce, social equity</w:t>
      </w:r>
      <w:r w:rsidR="006612DE" w:rsidRPr="00526B42">
        <w:rPr>
          <w:rFonts w:cs="Arial"/>
        </w:rPr>
        <w:t xml:space="preserve">. </w:t>
      </w:r>
      <w:r w:rsidR="00912752" w:rsidRPr="00526B42">
        <w:rPr>
          <w:rFonts w:cs="Arial"/>
        </w:rPr>
        <w:t>The review</w:t>
      </w:r>
      <w:r w:rsidR="006873A3" w:rsidRPr="00526B42">
        <w:rPr>
          <w:rFonts w:cs="Arial"/>
        </w:rPr>
        <w:t xml:space="preserve"> underscores the </w:t>
      </w:r>
      <w:r w:rsidR="00884A39" w:rsidRPr="00526B42">
        <w:rPr>
          <w:rFonts w:cs="Arial"/>
        </w:rPr>
        <w:t>importance of</w:t>
      </w:r>
      <w:r w:rsidR="006873A3" w:rsidRPr="00526B42">
        <w:rPr>
          <w:rFonts w:cs="Arial"/>
        </w:rPr>
        <w:t xml:space="preserve"> invest</w:t>
      </w:r>
      <w:r w:rsidR="005A238C" w:rsidRPr="00526B42">
        <w:rPr>
          <w:rFonts w:cs="Arial"/>
        </w:rPr>
        <w:t>ing</w:t>
      </w:r>
      <w:r w:rsidR="006873A3" w:rsidRPr="00526B42">
        <w:rPr>
          <w:rFonts w:cs="Arial"/>
        </w:rPr>
        <w:t xml:space="preserve"> in </w:t>
      </w:r>
      <w:r w:rsidR="00E92276" w:rsidRPr="00526B42">
        <w:rPr>
          <w:rFonts w:cs="Arial"/>
        </w:rPr>
        <w:t>strong community partnerships</w:t>
      </w:r>
      <w:r w:rsidR="001269BB" w:rsidRPr="00526B42">
        <w:rPr>
          <w:rFonts w:cs="Arial"/>
        </w:rPr>
        <w:t xml:space="preserve"> </w:t>
      </w:r>
      <w:r w:rsidR="006873A3" w:rsidRPr="00526B42">
        <w:rPr>
          <w:rFonts w:cs="Arial"/>
        </w:rPr>
        <w:t xml:space="preserve">to help </w:t>
      </w:r>
      <w:r w:rsidR="00884A39" w:rsidRPr="00526B42">
        <w:rPr>
          <w:rFonts w:cs="Arial"/>
        </w:rPr>
        <w:t>build</w:t>
      </w:r>
      <w:r w:rsidR="006873A3" w:rsidRPr="00526B42">
        <w:rPr>
          <w:rFonts w:cs="Arial"/>
        </w:rPr>
        <w:t xml:space="preserve"> sector confidence and competency.</w:t>
      </w:r>
      <w:r w:rsidR="00AA3A62" w:rsidRPr="00526B42">
        <w:rPr>
          <w:rFonts w:cs="Arial"/>
        </w:rPr>
        <w:t xml:space="preserve"> </w:t>
      </w:r>
      <w:r w:rsidR="00B23BE5" w:rsidRPr="00526B42">
        <w:rPr>
          <w:rFonts w:cs="Arial"/>
        </w:rPr>
        <w:t xml:space="preserve">It </w:t>
      </w:r>
      <w:r w:rsidR="00540552" w:rsidRPr="00526B42">
        <w:rPr>
          <w:rFonts w:cs="Arial"/>
        </w:rPr>
        <w:t>offers</w:t>
      </w:r>
      <w:r w:rsidR="00B23BE5" w:rsidRPr="00526B42">
        <w:rPr>
          <w:rFonts w:cs="Arial"/>
        </w:rPr>
        <w:t xml:space="preserve"> </w:t>
      </w:r>
      <w:r w:rsidR="002A1D86" w:rsidRPr="00526B42">
        <w:rPr>
          <w:rFonts w:cs="Arial"/>
        </w:rPr>
        <w:t xml:space="preserve">a set of pragmatic </w:t>
      </w:r>
      <w:r w:rsidR="00B10A63" w:rsidRPr="00526B42">
        <w:rPr>
          <w:rFonts w:cs="Arial"/>
        </w:rPr>
        <w:t>P</w:t>
      </w:r>
      <w:r w:rsidR="009D3327" w:rsidRPr="00526B42">
        <w:rPr>
          <w:rFonts w:cs="Arial"/>
        </w:rPr>
        <w:t>rinciples to strengthen current best practice</w:t>
      </w:r>
      <w:r w:rsidR="00AB0814" w:rsidRPr="00526B42">
        <w:rPr>
          <w:rFonts w:cs="Arial"/>
        </w:rPr>
        <w:t xml:space="preserve"> guidelines</w:t>
      </w:r>
      <w:r w:rsidR="009D3327" w:rsidRPr="00526B42">
        <w:rPr>
          <w:rFonts w:cs="Arial"/>
        </w:rPr>
        <w:t xml:space="preserve"> and policies</w:t>
      </w:r>
      <w:r w:rsidR="00246037" w:rsidRPr="00526B42">
        <w:rPr>
          <w:rFonts w:cs="Arial"/>
        </w:rPr>
        <w:t xml:space="preserve"> towards</w:t>
      </w:r>
      <w:r w:rsidR="009D3327" w:rsidRPr="00526B42">
        <w:rPr>
          <w:rFonts w:cs="Arial"/>
        </w:rPr>
        <w:t xml:space="preserve"> </w:t>
      </w:r>
      <w:r w:rsidR="0031015B" w:rsidRPr="00526B42">
        <w:rPr>
          <w:rFonts w:cs="Arial"/>
        </w:rPr>
        <w:t xml:space="preserve">offering an engaging and </w:t>
      </w:r>
      <w:r w:rsidR="00E92276" w:rsidRPr="00526B42">
        <w:rPr>
          <w:rFonts w:cs="Arial"/>
        </w:rPr>
        <w:t xml:space="preserve">empowering informed consent </w:t>
      </w:r>
      <w:r w:rsidR="0031015B" w:rsidRPr="00526B42">
        <w:rPr>
          <w:rFonts w:cs="Arial"/>
        </w:rPr>
        <w:t>experience</w:t>
      </w:r>
      <w:r w:rsidR="00E92276" w:rsidRPr="00526B42">
        <w:rPr>
          <w:rFonts w:cs="Arial"/>
        </w:rPr>
        <w:t>.</w:t>
      </w:r>
    </w:p>
    <w:p w14:paraId="435E591B" w14:textId="77777777" w:rsidR="008701F7" w:rsidRPr="00526B42" w:rsidRDefault="00ED6592" w:rsidP="00721D8E">
      <w:pPr>
        <w:pStyle w:val="Heading3"/>
        <w:spacing w:after="240"/>
      </w:pPr>
      <w:r w:rsidRPr="00526B42">
        <w:t>What is the aim of this review?</w:t>
      </w:r>
    </w:p>
    <w:p w14:paraId="435E591E" w14:textId="05AF13FC" w:rsidR="008701F7" w:rsidRPr="00526B42" w:rsidRDefault="00D0786C" w:rsidP="00721D8E">
      <w:pPr>
        <w:rPr>
          <w:rFonts w:cs="Arial"/>
        </w:rPr>
      </w:pPr>
      <w:r w:rsidRPr="00526B42">
        <w:rPr>
          <w:rFonts w:cs="Arial"/>
        </w:rPr>
        <w:t>This systematic review address</w:t>
      </w:r>
      <w:r w:rsidR="00CE7C7F">
        <w:rPr>
          <w:rFonts w:cs="Arial"/>
        </w:rPr>
        <w:t>es</w:t>
      </w:r>
      <w:r w:rsidRPr="00526B42">
        <w:rPr>
          <w:rFonts w:cs="Arial"/>
        </w:rPr>
        <w:t xml:space="preserve"> the following research question: what strategies are used to enhance inclusive </w:t>
      </w:r>
      <w:r w:rsidR="00BB1743">
        <w:rPr>
          <w:rFonts w:cs="Arial"/>
        </w:rPr>
        <w:t xml:space="preserve">and accessible </w:t>
      </w:r>
      <w:r w:rsidRPr="00526B42">
        <w:rPr>
          <w:rFonts w:cs="Arial"/>
        </w:rPr>
        <w:t xml:space="preserve">consent practice for people with </w:t>
      </w:r>
      <w:r w:rsidR="005C7422">
        <w:rPr>
          <w:rFonts w:cs="Arial"/>
        </w:rPr>
        <w:t>diverse vision and/or hearing differences</w:t>
      </w:r>
      <w:r w:rsidRPr="00526B42">
        <w:rPr>
          <w:rFonts w:cs="Arial"/>
        </w:rPr>
        <w:t>?</w:t>
      </w:r>
    </w:p>
    <w:p w14:paraId="435E591F" w14:textId="77777777" w:rsidR="008701F7" w:rsidRPr="00526B42" w:rsidRDefault="00ED6592" w:rsidP="00721D8E">
      <w:pPr>
        <w:pStyle w:val="Heading3"/>
        <w:spacing w:after="240"/>
      </w:pPr>
      <w:r w:rsidRPr="00526B42">
        <w:t>What are the main findings of this review?</w:t>
      </w:r>
    </w:p>
    <w:p w14:paraId="5895BB60" w14:textId="26CE20FC" w:rsidR="00B235C2" w:rsidRPr="00526B42" w:rsidRDefault="00B235C2" w:rsidP="00B235C2">
      <w:r w:rsidRPr="00526B42">
        <w:t xml:space="preserve">A total of </w:t>
      </w:r>
      <w:r w:rsidR="00F64F24" w:rsidRPr="00526B42">
        <w:t>19</w:t>
      </w:r>
      <w:r w:rsidRPr="00526B42">
        <w:t xml:space="preserve"> studies </w:t>
      </w:r>
      <w:r w:rsidR="00F64F24" w:rsidRPr="00526B42">
        <w:t>met eligibility criteria</w:t>
      </w:r>
      <w:r w:rsidRPr="00526B42">
        <w:t xml:space="preserve">. The studies spanned </w:t>
      </w:r>
      <w:proofErr w:type="gramStart"/>
      <w:r w:rsidR="002433D1" w:rsidRPr="00526B42">
        <w:t xml:space="preserve">a </w:t>
      </w:r>
      <w:r w:rsidR="00D9080C" w:rsidRPr="00526B42">
        <w:t>25</w:t>
      </w:r>
      <w:r w:rsidR="00BD7FB5">
        <w:t xml:space="preserve"> </w:t>
      </w:r>
      <w:r w:rsidR="00D9080C" w:rsidRPr="00526B42">
        <w:t>year</w:t>
      </w:r>
      <w:r w:rsidR="00BD7FB5">
        <w:t>s</w:t>
      </w:r>
      <w:proofErr w:type="gramEnd"/>
      <w:r w:rsidR="002433D1" w:rsidRPr="00526B42">
        <w:t xml:space="preserve"> </w:t>
      </w:r>
      <w:r w:rsidRPr="00526B42">
        <w:t>and were mostly carried out in the USA, Europe and Australia</w:t>
      </w:r>
      <w:r w:rsidR="002433D1" w:rsidRPr="00526B42">
        <w:t>.</w:t>
      </w:r>
      <w:r w:rsidR="00734982" w:rsidRPr="00526B42">
        <w:t xml:space="preserve"> </w:t>
      </w:r>
      <w:r w:rsidR="00D8788D">
        <w:t>Seven</w:t>
      </w:r>
      <w:r w:rsidR="00D06EC8" w:rsidRPr="00526B42">
        <w:t xml:space="preserve"> studies involv</w:t>
      </w:r>
      <w:r w:rsidR="00763F17">
        <w:t>ed</w:t>
      </w:r>
      <w:r w:rsidR="00D06EC8" w:rsidRPr="00526B42">
        <w:t xml:space="preserve"> people </w:t>
      </w:r>
      <w:r w:rsidR="0081462D" w:rsidRPr="00526B42">
        <w:t xml:space="preserve">from the </w:t>
      </w:r>
      <w:r w:rsidR="00D06EC8" w:rsidRPr="00526B42">
        <w:t>Deaf</w:t>
      </w:r>
      <w:r w:rsidR="0081462D" w:rsidRPr="00526B42">
        <w:t xml:space="preserve"> community</w:t>
      </w:r>
      <w:r w:rsidR="004C4E6F" w:rsidRPr="00526B42">
        <w:t>, 7 involv</w:t>
      </w:r>
      <w:r w:rsidR="00DE2ED8">
        <w:t>ed</w:t>
      </w:r>
      <w:r w:rsidR="004C4E6F" w:rsidRPr="00526B42">
        <w:t xml:space="preserve"> people </w:t>
      </w:r>
      <w:r w:rsidR="008E2C97" w:rsidRPr="00526B42">
        <w:t xml:space="preserve">from the </w:t>
      </w:r>
      <w:r w:rsidR="00D9080C" w:rsidRPr="00526B42">
        <w:t>vision</w:t>
      </w:r>
      <w:r w:rsidR="00B95D0D">
        <w:t xml:space="preserve"> community</w:t>
      </w:r>
      <w:r w:rsidR="00D9080C" w:rsidRPr="00526B42">
        <w:t xml:space="preserve"> </w:t>
      </w:r>
      <w:r w:rsidR="00CB6AD1" w:rsidRPr="00526B42">
        <w:t>(low vis</w:t>
      </w:r>
      <w:r w:rsidR="008717EE">
        <w:t>i</w:t>
      </w:r>
      <w:r w:rsidR="00CB6AD1" w:rsidRPr="00526B42">
        <w:t>on and blindness)</w:t>
      </w:r>
      <w:r w:rsidR="004C4E6F" w:rsidRPr="00526B42">
        <w:t xml:space="preserve"> and </w:t>
      </w:r>
      <w:r w:rsidR="0081462D" w:rsidRPr="00526B42">
        <w:t xml:space="preserve">5 </w:t>
      </w:r>
      <w:r w:rsidR="00C06624">
        <w:t>involved</w:t>
      </w:r>
      <w:r w:rsidR="00137E81">
        <w:t xml:space="preserve"> </w:t>
      </w:r>
      <w:r w:rsidR="00D9080C" w:rsidRPr="00526B42">
        <w:t xml:space="preserve">people from the Deafblind community. </w:t>
      </w:r>
      <w:r w:rsidR="00FC177A" w:rsidRPr="00526B42">
        <w:t xml:space="preserve">Similar patterns and themes were identified across studies. </w:t>
      </w:r>
      <w:r w:rsidR="00F81BA4">
        <w:t xml:space="preserve">Based on </w:t>
      </w:r>
      <w:r w:rsidR="00FC177A" w:rsidRPr="00526B42">
        <w:t>t</w:t>
      </w:r>
      <w:r w:rsidR="00F81BA4">
        <w:t>hese findings</w:t>
      </w:r>
      <w:r w:rsidR="00225D23">
        <w:t>,</w:t>
      </w:r>
      <w:r w:rsidR="00FC177A" w:rsidRPr="00526B42">
        <w:t xml:space="preserve"> </w:t>
      </w:r>
      <w:r w:rsidR="00F81B89">
        <w:t>we developed</w:t>
      </w:r>
      <w:r w:rsidR="00C42719" w:rsidRPr="00526B42">
        <w:t xml:space="preserve"> </w:t>
      </w:r>
      <w:r w:rsidR="00E7068E">
        <w:t>8</w:t>
      </w:r>
      <w:r w:rsidR="003F164E" w:rsidRPr="00526B42">
        <w:t xml:space="preserve"> </w:t>
      </w:r>
      <w:r w:rsidR="00A3353A">
        <w:t>P</w:t>
      </w:r>
      <w:r w:rsidR="003F164E" w:rsidRPr="00526B42">
        <w:t xml:space="preserve">rinciples </w:t>
      </w:r>
      <w:r w:rsidR="00225D23">
        <w:t>that</w:t>
      </w:r>
      <w:r w:rsidR="003F164E" w:rsidRPr="00526B42">
        <w:t xml:space="preserve"> </w:t>
      </w:r>
      <w:r w:rsidR="008717EE">
        <w:t>e</w:t>
      </w:r>
      <w:r w:rsidR="003F164E" w:rsidRPr="00526B42">
        <w:t>ncapsulat</w:t>
      </w:r>
      <w:r w:rsidR="00225D23">
        <w:t>ed</w:t>
      </w:r>
      <w:r w:rsidR="003F164E" w:rsidRPr="00526B42">
        <w:t xml:space="preserve"> the </w:t>
      </w:r>
      <w:r w:rsidR="00E7068E">
        <w:t xml:space="preserve">main </w:t>
      </w:r>
      <w:r w:rsidR="003F164E" w:rsidRPr="00526B42">
        <w:t xml:space="preserve">intentions of the </w:t>
      </w:r>
      <w:r w:rsidR="00E7068E">
        <w:t>included studies</w:t>
      </w:r>
      <w:r w:rsidR="003F164E" w:rsidRPr="00526B42">
        <w:t xml:space="preserve">. </w:t>
      </w:r>
    </w:p>
    <w:p w14:paraId="435E592D" w14:textId="77777777" w:rsidR="008701F7" w:rsidRPr="00526B42" w:rsidRDefault="00ED6592" w:rsidP="00721D8E">
      <w:pPr>
        <w:pStyle w:val="Heading3"/>
        <w:spacing w:after="240"/>
      </w:pPr>
      <w:r w:rsidRPr="00526B42">
        <w:t>What do the findings of this review mean?</w:t>
      </w:r>
    </w:p>
    <w:p w14:paraId="435E592F" w14:textId="469664B8" w:rsidR="008701F7" w:rsidRPr="00526B42" w:rsidRDefault="0047722A" w:rsidP="00721D8E">
      <w:r w:rsidRPr="00526B42">
        <w:t xml:space="preserve">International Good Clinical Practice Guidelines </w:t>
      </w:r>
      <w:r w:rsidR="009F454B" w:rsidRPr="00526B42">
        <w:t xml:space="preserve">(e.g., ICH-GCP) advocate for </w:t>
      </w:r>
      <w:r w:rsidR="000530A4" w:rsidRPr="00526B42">
        <w:t xml:space="preserve">accessible communication and information formats </w:t>
      </w:r>
      <w:r w:rsidR="00A05D3B">
        <w:t>in</w:t>
      </w:r>
      <w:r w:rsidR="00A05D3B" w:rsidRPr="00526B42">
        <w:t xml:space="preserve"> </w:t>
      </w:r>
      <w:r w:rsidR="000530A4" w:rsidRPr="00526B42">
        <w:t>informed consent pr</w:t>
      </w:r>
      <w:r w:rsidR="00606188" w:rsidRPr="00526B42">
        <w:t>ocesses</w:t>
      </w:r>
      <w:r w:rsidR="000530A4" w:rsidRPr="00526B42">
        <w:t xml:space="preserve">. </w:t>
      </w:r>
      <w:r w:rsidR="0086380D">
        <w:t>However, while</w:t>
      </w:r>
      <w:r w:rsidR="009558DC" w:rsidRPr="00526B42">
        <w:t xml:space="preserve"> </w:t>
      </w:r>
      <w:proofErr w:type="gramStart"/>
      <w:r w:rsidR="009558DC" w:rsidRPr="00526B42">
        <w:t>the</w:t>
      </w:r>
      <w:r w:rsidR="0086380D">
        <w:t>se</w:t>
      </w:r>
      <w:r w:rsidR="009558DC" w:rsidRPr="00526B42">
        <w:t xml:space="preserve"> recommendation</w:t>
      </w:r>
      <w:proofErr w:type="gramEnd"/>
      <w:r w:rsidR="009558DC" w:rsidRPr="00526B42">
        <w:t xml:space="preserve"> </w:t>
      </w:r>
      <w:r w:rsidR="0086380D">
        <w:t>exist</w:t>
      </w:r>
      <w:r w:rsidR="009558DC" w:rsidRPr="00526B42">
        <w:t xml:space="preserve">, </w:t>
      </w:r>
      <w:r w:rsidR="00235FFA" w:rsidRPr="00526B42">
        <w:t xml:space="preserve">information on how </w:t>
      </w:r>
      <w:r w:rsidR="00621ECF">
        <w:t>to</w:t>
      </w:r>
      <w:r w:rsidR="00621ECF" w:rsidRPr="00526B42">
        <w:t xml:space="preserve"> </w:t>
      </w:r>
      <w:r w:rsidR="00235FFA" w:rsidRPr="00526B42">
        <w:t>implement</w:t>
      </w:r>
      <w:r w:rsidR="00621ECF">
        <w:t xml:space="preserve"> them</w:t>
      </w:r>
      <w:r w:rsidR="007C3DA7" w:rsidRPr="00526B42">
        <w:t xml:space="preserve"> </w:t>
      </w:r>
      <w:r w:rsidR="00606188" w:rsidRPr="00526B42">
        <w:t xml:space="preserve">in practice </w:t>
      </w:r>
      <w:r w:rsidR="00D3570D" w:rsidRPr="00526B42">
        <w:t>is lacking</w:t>
      </w:r>
      <w:r w:rsidR="00E11D60" w:rsidRPr="00526B42">
        <w:t>, particularly f</w:t>
      </w:r>
      <w:r w:rsidR="004D6F6C" w:rsidRPr="00526B42">
        <w:t>or address</w:t>
      </w:r>
      <w:r w:rsidR="009571D7" w:rsidRPr="00526B42">
        <w:t xml:space="preserve">ing information access </w:t>
      </w:r>
      <w:r w:rsidR="00CA4BC9" w:rsidRPr="00526B42">
        <w:t>challenges</w:t>
      </w:r>
      <w:r w:rsidR="00D3570D" w:rsidRPr="00526B42">
        <w:t xml:space="preserve">. </w:t>
      </w:r>
      <w:r w:rsidR="00504B26" w:rsidRPr="00526B42">
        <w:t xml:space="preserve">This review </w:t>
      </w:r>
      <w:r w:rsidR="00365A3F">
        <w:t>addresses</w:t>
      </w:r>
      <w:r w:rsidR="00D3570D" w:rsidRPr="00526B42">
        <w:t xml:space="preserve"> this </w:t>
      </w:r>
      <w:r w:rsidR="00E11D60" w:rsidRPr="00526B42">
        <w:t xml:space="preserve">gap and </w:t>
      </w:r>
      <w:r w:rsidR="00F85AC1" w:rsidRPr="00526B42">
        <w:t>includes studies</w:t>
      </w:r>
      <w:r w:rsidR="00504B26" w:rsidRPr="00526B42">
        <w:t xml:space="preserve"> </w:t>
      </w:r>
      <w:r w:rsidR="00D47E48" w:rsidRPr="00526B42">
        <w:t xml:space="preserve">that provide insights into what approaches are being implemented to </w:t>
      </w:r>
      <w:r w:rsidR="00EB1054" w:rsidRPr="00526B42">
        <w:t xml:space="preserve">support engagement with priority </w:t>
      </w:r>
      <w:r w:rsidR="0064193B">
        <w:t xml:space="preserve">(target) </w:t>
      </w:r>
      <w:r w:rsidR="00EB1054" w:rsidRPr="00526B42">
        <w:t>populations</w:t>
      </w:r>
      <w:r w:rsidR="00F70893" w:rsidRPr="00526B42">
        <w:t xml:space="preserve"> </w:t>
      </w:r>
      <w:r w:rsidR="00844E7B" w:rsidRPr="00526B42">
        <w:t>to enable</w:t>
      </w:r>
      <w:r w:rsidR="00B845C1" w:rsidRPr="00526B42">
        <w:t xml:space="preserve"> access to information</w:t>
      </w:r>
      <w:r w:rsidR="0090322E" w:rsidRPr="00526B42">
        <w:t>.</w:t>
      </w:r>
      <w:r w:rsidR="00057627" w:rsidRPr="00526B42">
        <w:t xml:space="preserve"> </w:t>
      </w:r>
      <w:r w:rsidR="00EA00AB" w:rsidRPr="00526B42">
        <w:t>Th</w:t>
      </w:r>
      <w:r w:rsidR="00E259AA" w:rsidRPr="00526B42">
        <w:t>e</w:t>
      </w:r>
      <w:r w:rsidR="00EA00AB" w:rsidRPr="00526B42">
        <w:t xml:space="preserve"> review provides an opportunity to strengthen </w:t>
      </w:r>
      <w:r w:rsidR="00BF4F96" w:rsidRPr="00526B42">
        <w:t>current policy</w:t>
      </w:r>
      <w:r w:rsidR="00B07E92" w:rsidRPr="00526B42">
        <w:t xml:space="preserve"> </w:t>
      </w:r>
      <w:r w:rsidR="00E259AA" w:rsidRPr="00526B42">
        <w:t xml:space="preserve">and professional guidelines </w:t>
      </w:r>
      <w:r w:rsidR="00B07E92" w:rsidRPr="00526B42">
        <w:t xml:space="preserve">by </w:t>
      </w:r>
      <w:r w:rsidR="005C0586" w:rsidRPr="00526B42">
        <w:t>outlining</w:t>
      </w:r>
      <w:r w:rsidR="00B07E92" w:rsidRPr="00526B42">
        <w:t xml:space="preserve"> a</w:t>
      </w:r>
      <w:r w:rsidR="005C0586" w:rsidRPr="00526B42">
        <w:t xml:space="preserve"> set of</w:t>
      </w:r>
      <w:r w:rsidR="00CF0618" w:rsidRPr="00526B42">
        <w:t xml:space="preserve"> </w:t>
      </w:r>
      <w:r w:rsidR="000D15B2" w:rsidRPr="00526B42">
        <w:t>8 P</w:t>
      </w:r>
      <w:r w:rsidR="00FC2AD8" w:rsidRPr="00526B42">
        <w:t xml:space="preserve">rinciples that can be tailored to specific research </w:t>
      </w:r>
      <w:r w:rsidR="009F0498" w:rsidRPr="00526B42">
        <w:t xml:space="preserve">focus </w:t>
      </w:r>
      <w:r w:rsidR="00FC2AD8" w:rsidRPr="00526B42">
        <w:t>and setting.</w:t>
      </w:r>
      <w:r w:rsidR="004D5CDD" w:rsidRPr="00526B42">
        <w:t xml:space="preserve"> </w:t>
      </w:r>
      <w:r w:rsidR="000E0FA4">
        <w:t>Collectively, these</w:t>
      </w:r>
      <w:r w:rsidR="00111CA8" w:rsidRPr="00526B42">
        <w:t xml:space="preserve"> </w:t>
      </w:r>
      <w:r w:rsidR="000E0FA4">
        <w:t>Principles</w:t>
      </w:r>
      <w:r w:rsidR="00111CA8" w:rsidRPr="00526B42">
        <w:t xml:space="preserve"> </w:t>
      </w:r>
      <w:r w:rsidR="000E0FA4">
        <w:t xml:space="preserve">offer </w:t>
      </w:r>
      <w:r w:rsidR="00111CA8" w:rsidRPr="00526B42">
        <w:t>a</w:t>
      </w:r>
      <w:r w:rsidR="007765C3" w:rsidRPr="00526B42">
        <w:rPr>
          <w:rFonts w:cs="Arial"/>
        </w:rPr>
        <w:t xml:space="preserve"> </w:t>
      </w:r>
      <w:r w:rsidR="00361598">
        <w:rPr>
          <w:rFonts w:cs="Arial"/>
        </w:rPr>
        <w:t>practical</w:t>
      </w:r>
      <w:r w:rsidR="00361598" w:rsidRPr="00526B42">
        <w:rPr>
          <w:rFonts w:cs="Arial"/>
        </w:rPr>
        <w:t xml:space="preserve"> </w:t>
      </w:r>
      <w:r w:rsidR="007765C3" w:rsidRPr="00526B42">
        <w:rPr>
          <w:rFonts w:cs="Arial"/>
        </w:rPr>
        <w:t>roadmap for embedding information accessibility strategies into routine informed consent practices.</w:t>
      </w:r>
    </w:p>
    <w:p w14:paraId="435E5930" w14:textId="28EFF145" w:rsidR="008701F7" w:rsidRPr="00526B42" w:rsidRDefault="00ED6592" w:rsidP="00721D8E">
      <w:pPr>
        <w:pStyle w:val="Heading3"/>
        <w:spacing w:after="240"/>
      </w:pPr>
      <w:r w:rsidRPr="00526B42">
        <w:t>How up</w:t>
      </w:r>
      <w:r w:rsidR="0000746B">
        <w:t xml:space="preserve"> </w:t>
      </w:r>
      <w:r w:rsidRPr="00526B42">
        <w:t>to</w:t>
      </w:r>
      <w:r w:rsidR="0000746B">
        <w:t xml:space="preserve"> </w:t>
      </w:r>
      <w:r w:rsidRPr="00526B42">
        <w:t>date is this review?</w:t>
      </w:r>
    </w:p>
    <w:p w14:paraId="435E5932" w14:textId="72902DA3" w:rsidR="008701F7" w:rsidRPr="00526B42" w:rsidRDefault="003E6000" w:rsidP="00721D8E">
      <w:r w:rsidRPr="00526B42">
        <w:t>The review searched for studies fro</w:t>
      </w:r>
      <w:r w:rsidR="006231DE" w:rsidRPr="00526B42">
        <w:t xml:space="preserve">m January 2000 to </w:t>
      </w:r>
      <w:r w:rsidR="002B1262" w:rsidRPr="00526B42">
        <w:t>July</w:t>
      </w:r>
      <w:r w:rsidR="006231DE" w:rsidRPr="00526B42">
        <w:t xml:space="preserve"> 2025.</w:t>
      </w:r>
      <w:r w:rsidR="00561107" w:rsidRPr="00526B42">
        <w:t xml:space="preserve"> The review was published in 2026.</w:t>
      </w:r>
    </w:p>
    <w:p w14:paraId="15086702" w14:textId="51DCBEB9" w:rsidR="00CD3446" w:rsidRPr="009907FC" w:rsidRDefault="00CD3446" w:rsidP="00CD3446">
      <w:pPr>
        <w:pStyle w:val="Heading3"/>
        <w:spacing w:after="240"/>
      </w:pPr>
      <w:r w:rsidRPr="00526B42">
        <w:t>Positionality</w:t>
      </w:r>
    </w:p>
    <w:p w14:paraId="6B12670F" w14:textId="0BEC874C" w:rsidR="00405CAF" w:rsidRPr="00526B42" w:rsidRDefault="00405CAF" w:rsidP="00405CAF">
      <w:pPr>
        <w:rPr>
          <w:rFonts w:cs="Arial"/>
        </w:rPr>
      </w:pPr>
      <w:r w:rsidRPr="00526B42">
        <w:rPr>
          <w:rFonts w:cs="Arial"/>
        </w:rPr>
        <w:t xml:space="preserve">The authors understand the definition of disability and recognize the social and human rights models of disability (Retief &amp; </w:t>
      </w:r>
      <w:proofErr w:type="spellStart"/>
      <w:r w:rsidRPr="00526B42">
        <w:rPr>
          <w:rFonts w:cs="Arial"/>
        </w:rPr>
        <w:t>Lesosa</w:t>
      </w:r>
      <w:proofErr w:type="spellEnd"/>
      <w:r w:rsidRPr="00526B42">
        <w:rPr>
          <w:rFonts w:cs="Arial"/>
        </w:rPr>
        <w:t xml:space="preserve">, 2018). Within these contexts, </w:t>
      </w:r>
      <w:r w:rsidR="00E17245" w:rsidRPr="00526B42">
        <w:rPr>
          <w:rFonts w:cs="Arial"/>
        </w:rPr>
        <w:t xml:space="preserve">we use </w:t>
      </w:r>
      <w:r w:rsidRPr="00526B42">
        <w:rPr>
          <w:rFonts w:cs="Arial"/>
        </w:rPr>
        <w:t xml:space="preserve">the term </w:t>
      </w:r>
      <w:r w:rsidR="00E17245" w:rsidRPr="00526B42">
        <w:rPr>
          <w:rFonts w:cs="Arial"/>
        </w:rPr>
        <w:t>“</w:t>
      </w:r>
      <w:r w:rsidR="00972F51" w:rsidRPr="00526B42">
        <w:rPr>
          <w:rFonts w:cs="Arial"/>
        </w:rPr>
        <w:t>access barriers</w:t>
      </w:r>
      <w:r w:rsidR="00E17245" w:rsidRPr="00526B42">
        <w:rPr>
          <w:rFonts w:cs="Arial"/>
        </w:rPr>
        <w:t>”</w:t>
      </w:r>
      <w:r w:rsidR="00972F51" w:rsidRPr="00526B42">
        <w:rPr>
          <w:rFonts w:cs="Arial"/>
        </w:rPr>
        <w:t xml:space="preserve"> </w:t>
      </w:r>
      <w:r w:rsidRPr="00526B42">
        <w:rPr>
          <w:rFonts w:cs="Arial"/>
        </w:rPr>
        <w:t xml:space="preserve">to </w:t>
      </w:r>
      <w:r w:rsidR="00E21BCB" w:rsidRPr="00526B42">
        <w:rPr>
          <w:rFonts w:cs="Arial"/>
        </w:rPr>
        <w:t>describe</w:t>
      </w:r>
      <w:r w:rsidRPr="00526B42">
        <w:rPr>
          <w:rFonts w:cs="Arial"/>
        </w:rPr>
        <w:t xml:space="preserve"> </w:t>
      </w:r>
      <w:r w:rsidR="00E21BCB" w:rsidRPr="00526B42">
        <w:rPr>
          <w:rFonts w:cs="Arial"/>
        </w:rPr>
        <w:t>obstacles</w:t>
      </w:r>
      <w:r w:rsidRPr="00526B42">
        <w:rPr>
          <w:rFonts w:cs="Arial"/>
        </w:rPr>
        <w:t xml:space="preserve"> imposed by the environment to information access, rather than attributing </w:t>
      </w:r>
      <w:r w:rsidR="00A63182" w:rsidRPr="00526B42">
        <w:rPr>
          <w:rFonts w:cs="Arial"/>
        </w:rPr>
        <w:t xml:space="preserve">limitations </w:t>
      </w:r>
      <w:r w:rsidR="00A63182" w:rsidRPr="009907FC">
        <w:rPr>
          <w:rFonts w:cs="Arial"/>
        </w:rPr>
        <w:t>to an individual’s</w:t>
      </w:r>
      <w:r w:rsidR="00646985" w:rsidRPr="00526B42">
        <w:rPr>
          <w:rFonts w:cs="Arial"/>
        </w:rPr>
        <w:t xml:space="preserve"> ability</w:t>
      </w:r>
      <w:r w:rsidRPr="00526B42">
        <w:rPr>
          <w:rFonts w:cs="Arial"/>
        </w:rPr>
        <w:t xml:space="preserve">. </w:t>
      </w:r>
      <w:r w:rsidR="00646985" w:rsidRPr="00526B42">
        <w:rPr>
          <w:rFonts w:cs="Arial"/>
        </w:rPr>
        <w:t>For example</w:t>
      </w:r>
      <w:r w:rsidRPr="00526B42">
        <w:rPr>
          <w:rFonts w:cs="Arial"/>
        </w:rPr>
        <w:t xml:space="preserve">, </w:t>
      </w:r>
      <w:r w:rsidR="00DE121E" w:rsidRPr="00526B42">
        <w:rPr>
          <w:rFonts w:cs="Arial"/>
        </w:rPr>
        <w:t>barriers to</w:t>
      </w:r>
      <w:r w:rsidRPr="00526B42">
        <w:rPr>
          <w:rFonts w:cs="Arial"/>
        </w:rPr>
        <w:t xml:space="preserve"> information access may </w:t>
      </w:r>
      <w:r w:rsidR="00DE121E" w:rsidRPr="00526B42">
        <w:rPr>
          <w:rFonts w:cs="Arial"/>
        </w:rPr>
        <w:t>arise</w:t>
      </w:r>
      <w:r w:rsidR="00612DF4" w:rsidRPr="00526B42">
        <w:rPr>
          <w:rFonts w:cs="Arial"/>
        </w:rPr>
        <w:t xml:space="preserve"> where</w:t>
      </w:r>
      <w:r w:rsidRPr="00526B42">
        <w:rPr>
          <w:rFonts w:cs="Arial"/>
        </w:rPr>
        <w:t xml:space="preserve"> readability is </w:t>
      </w:r>
      <w:r w:rsidR="00612DF4" w:rsidRPr="00526B42">
        <w:rPr>
          <w:rFonts w:cs="Arial"/>
        </w:rPr>
        <w:t xml:space="preserve">constrained by </w:t>
      </w:r>
      <w:r w:rsidRPr="00526B42">
        <w:rPr>
          <w:rFonts w:cs="Arial"/>
        </w:rPr>
        <w:t>the format or languag</w:t>
      </w:r>
      <w:r w:rsidR="00612DF4" w:rsidRPr="00526B42">
        <w:rPr>
          <w:rFonts w:cs="Arial"/>
        </w:rPr>
        <w:t>e</w:t>
      </w:r>
      <w:r w:rsidRPr="00526B42">
        <w:rPr>
          <w:rFonts w:cs="Arial"/>
        </w:rPr>
        <w:t>. As such, we approached this review from an Ability-Based Design viewpoint, to understand the considerations required to enhance information exchange (</w:t>
      </w:r>
      <w:proofErr w:type="spellStart"/>
      <w:r w:rsidRPr="00526B42">
        <w:rPr>
          <w:rFonts w:cs="Arial"/>
        </w:rPr>
        <w:t>Wobbrock</w:t>
      </w:r>
      <w:proofErr w:type="spellEnd"/>
      <w:r w:rsidRPr="00526B42">
        <w:rPr>
          <w:rFonts w:cs="Arial"/>
        </w:rPr>
        <w:t xml:space="preserve"> et al., 2011).</w:t>
      </w:r>
    </w:p>
    <w:p w14:paraId="3BE7141A" w14:textId="6EDC0C42" w:rsidR="00197D0A" w:rsidRPr="00526B42" w:rsidRDefault="00405CAF" w:rsidP="00721D8E">
      <w:pPr>
        <w:rPr>
          <w:rFonts w:cs="Arial"/>
        </w:rPr>
      </w:pPr>
      <w:r w:rsidRPr="00526B42">
        <w:rPr>
          <w:rFonts w:cs="Arial"/>
        </w:rPr>
        <w:t>The authors primarily have an outsider perspective, having interdisciplinary backgrounds in science, academia and clinical research. Yet, it should be acknowledged that three authors also have unique lived experiences and therefore can offer an insider perspective [blindness, carer of someone with low vision</w:t>
      </w:r>
      <w:r w:rsidR="005B736C">
        <w:rPr>
          <w:rFonts w:cs="Arial"/>
        </w:rPr>
        <w:t>,</w:t>
      </w:r>
      <w:r w:rsidRPr="00526B42">
        <w:rPr>
          <w:rFonts w:cs="Arial"/>
        </w:rPr>
        <w:t xml:space="preserve"> </w:t>
      </w:r>
      <w:r w:rsidR="00891EFE">
        <w:rPr>
          <w:rFonts w:cs="Arial"/>
        </w:rPr>
        <w:t>cancer</w:t>
      </w:r>
      <w:r w:rsidRPr="00526B42">
        <w:rPr>
          <w:rFonts w:cs="Arial"/>
        </w:rPr>
        <w:t xml:space="preserve">]. The lead authors have been engaged with blind and deaf communities for many years </w:t>
      </w:r>
      <w:r w:rsidR="00D7695E" w:rsidRPr="00526B42">
        <w:rPr>
          <w:rFonts w:cs="Arial"/>
        </w:rPr>
        <w:t xml:space="preserve">however, </w:t>
      </w:r>
      <w:r w:rsidR="00344F2A" w:rsidRPr="00526B42">
        <w:rPr>
          <w:rFonts w:cs="Arial"/>
        </w:rPr>
        <w:t>while</w:t>
      </w:r>
      <w:r w:rsidRPr="00526B42">
        <w:rPr>
          <w:rFonts w:cs="Arial"/>
        </w:rPr>
        <w:t xml:space="preserve"> culturally informed</w:t>
      </w:r>
      <w:r w:rsidR="00F42062" w:rsidRPr="00526B42">
        <w:rPr>
          <w:rFonts w:cs="Arial"/>
        </w:rPr>
        <w:t>, our perspective</w:t>
      </w:r>
      <w:r w:rsidR="00344F2A" w:rsidRPr="00526B42">
        <w:rPr>
          <w:rFonts w:cs="Arial"/>
        </w:rPr>
        <w:t xml:space="preserve"> remains</w:t>
      </w:r>
      <w:r w:rsidRPr="00526B42">
        <w:rPr>
          <w:rFonts w:cs="Arial"/>
        </w:rPr>
        <w:t xml:space="preserve"> open to examination by insider </w:t>
      </w:r>
      <w:r w:rsidR="00F42062" w:rsidRPr="00526B42">
        <w:rPr>
          <w:rFonts w:cs="Arial"/>
        </w:rPr>
        <w:t>perspectives</w:t>
      </w:r>
      <w:r w:rsidRPr="00526B42">
        <w:rPr>
          <w:rFonts w:cs="Arial"/>
        </w:rPr>
        <w:t xml:space="preserve">. Two authors have additional experience </w:t>
      </w:r>
      <w:r w:rsidR="000D5E47" w:rsidRPr="00526B42">
        <w:rPr>
          <w:rFonts w:cs="Arial"/>
        </w:rPr>
        <w:t xml:space="preserve">in </w:t>
      </w:r>
      <w:r w:rsidRPr="00526B42">
        <w:rPr>
          <w:rFonts w:cs="Arial"/>
        </w:rPr>
        <w:t xml:space="preserve">community engaged research involving people with </w:t>
      </w:r>
      <w:r w:rsidR="00107C72" w:rsidRPr="00526B42">
        <w:rPr>
          <w:rFonts w:cs="Arial"/>
        </w:rPr>
        <w:t xml:space="preserve">varied abilities and access </w:t>
      </w:r>
      <w:r w:rsidR="0056574C">
        <w:rPr>
          <w:rFonts w:cs="Arial"/>
        </w:rPr>
        <w:t>requirements</w:t>
      </w:r>
      <w:r w:rsidR="00107C72" w:rsidRPr="00526B42">
        <w:rPr>
          <w:rFonts w:cs="Arial"/>
        </w:rPr>
        <w:t xml:space="preserve">, including those with </w:t>
      </w:r>
      <w:r w:rsidRPr="00526B42">
        <w:rPr>
          <w:rFonts w:cs="Arial"/>
        </w:rPr>
        <w:t xml:space="preserve">intellectual, physical and </w:t>
      </w:r>
      <w:r w:rsidR="002329DD" w:rsidRPr="00526B42">
        <w:rPr>
          <w:rFonts w:cs="Arial"/>
        </w:rPr>
        <w:t xml:space="preserve">multiple </w:t>
      </w:r>
      <w:r w:rsidR="00107C72" w:rsidRPr="00526B42">
        <w:rPr>
          <w:rFonts w:cs="Arial"/>
        </w:rPr>
        <w:t>intersecting needs</w:t>
      </w:r>
      <w:r w:rsidRPr="00526B42">
        <w:rPr>
          <w:rFonts w:cs="Arial"/>
        </w:rPr>
        <w:t xml:space="preserve">. </w:t>
      </w:r>
    </w:p>
    <w:p w14:paraId="435E5937" w14:textId="77777777" w:rsidR="008701F7" w:rsidRPr="00526B42" w:rsidRDefault="00ED6592" w:rsidP="00721D8E">
      <w:pPr>
        <w:pStyle w:val="Heading1"/>
        <w:spacing w:after="240"/>
      </w:pPr>
      <w:bookmarkStart w:id="7" w:name="bookmark=id.4d34og8" w:colFirst="0" w:colLast="0"/>
      <w:bookmarkEnd w:id="7"/>
      <w:r w:rsidRPr="00526B42">
        <w:t xml:space="preserve">Background </w:t>
      </w:r>
    </w:p>
    <w:p w14:paraId="44987D3D" w14:textId="40433ADD" w:rsidR="00466707" w:rsidRPr="00526B42" w:rsidRDefault="00466707" w:rsidP="00466707">
      <w:pPr>
        <w:rPr>
          <w:rFonts w:cs="Arial"/>
        </w:rPr>
      </w:pPr>
      <w:r w:rsidRPr="00526B42">
        <w:rPr>
          <w:rFonts w:cs="Arial"/>
        </w:rPr>
        <w:t>Accessible information and communications are vital for people to feel included and empowered to make decisions regarding the services they need (RDI Network, 2021). Information to support informed consent for medical or healthcare purposes may be inaccessible if access needs of the priority population are not considered. The standard practice for delivering an informed consent procedure, for example to participate in clinical research, includes being provided with a written document (such as a Plain Language Statement, or Participant Information and Consent Form) to review in accompaniment with a verbal discussion with the research team covering key aspects relating to participation (</w:t>
      </w:r>
      <w:r w:rsidR="00F074E5" w:rsidRPr="00526B42">
        <w:rPr>
          <w:rFonts w:cs="Arial"/>
        </w:rPr>
        <w:t>Gupta,</w:t>
      </w:r>
      <w:r w:rsidRPr="00526B42">
        <w:rPr>
          <w:rFonts w:cs="Arial"/>
        </w:rPr>
        <w:t xml:space="preserve"> 201</w:t>
      </w:r>
      <w:r w:rsidR="00A86C4B" w:rsidRPr="00526B42">
        <w:rPr>
          <w:rFonts w:cs="Arial"/>
        </w:rPr>
        <w:t>3</w:t>
      </w:r>
      <w:r w:rsidRPr="00526B42">
        <w:rPr>
          <w:rFonts w:cs="Arial"/>
        </w:rPr>
        <w:t xml:space="preserve">). Without priority actions to ensure accessibility of information for people who experience an information access challenge, such as those with changes to vision and/or hearing ability, the validity of informed consent is in question (Griffith, 2022). It is paramount that access to communication and information is equitable and is adapted to suit the information needs of the individual. Research staff and organizations are responsible for ensuring an informed and inclusive consent process. </w:t>
      </w:r>
    </w:p>
    <w:p w14:paraId="2909673A" w14:textId="139F3E98" w:rsidR="00466707" w:rsidRPr="00526B42" w:rsidRDefault="00466707" w:rsidP="00466707">
      <w:pPr>
        <w:rPr>
          <w:rFonts w:cs="Arial"/>
        </w:rPr>
      </w:pPr>
      <w:r w:rsidRPr="00526B42">
        <w:rPr>
          <w:rFonts w:cs="Arial"/>
        </w:rPr>
        <w:t xml:space="preserve">Both ethically and legally, informed consent needs to respect and promote a participant’s autonomy and protect the participant from harm (Shah, 2024). Obtaining written informed consent before enrolment in an interventional clinical trial is a globally accepted standard. This process </w:t>
      </w:r>
      <w:r w:rsidR="00EA3695">
        <w:rPr>
          <w:rFonts w:cs="Arial"/>
        </w:rPr>
        <w:t xml:space="preserve">should support </w:t>
      </w:r>
      <w:r w:rsidRPr="00526B42">
        <w:rPr>
          <w:rFonts w:cs="Arial"/>
        </w:rPr>
        <w:t xml:space="preserve">shared decision making </w:t>
      </w:r>
      <w:r w:rsidR="0077656F">
        <w:rPr>
          <w:rFonts w:cs="Arial"/>
        </w:rPr>
        <w:t xml:space="preserve">so people can make informed and </w:t>
      </w:r>
      <w:r w:rsidRPr="00526B42">
        <w:rPr>
          <w:rFonts w:cs="Arial"/>
        </w:rPr>
        <w:t>empowered c</w:t>
      </w:r>
      <w:r w:rsidR="0077656F">
        <w:rPr>
          <w:rFonts w:cs="Arial"/>
        </w:rPr>
        <w:t>hoices</w:t>
      </w:r>
      <w:r w:rsidRPr="00526B42">
        <w:rPr>
          <w:rFonts w:cs="Arial"/>
        </w:rPr>
        <w:t xml:space="preserve"> (Agner &amp; Braun, 2018; Hagopian, 2024). </w:t>
      </w:r>
      <w:r w:rsidR="009567AC">
        <w:rPr>
          <w:rFonts w:cs="Arial"/>
        </w:rPr>
        <w:t>Researchers should provide b</w:t>
      </w:r>
      <w:r w:rsidRPr="00526B42">
        <w:rPr>
          <w:rFonts w:cs="Arial"/>
        </w:rPr>
        <w:t xml:space="preserve">oth verbal and written information in </w:t>
      </w:r>
      <w:r w:rsidR="00A26AD6">
        <w:rPr>
          <w:rFonts w:cs="Arial"/>
        </w:rPr>
        <w:t>different</w:t>
      </w:r>
      <w:r w:rsidRPr="00526B42">
        <w:rPr>
          <w:rFonts w:cs="Arial"/>
        </w:rPr>
        <w:t xml:space="preserve"> ways</w:t>
      </w:r>
      <w:r w:rsidR="00A26AD6">
        <w:rPr>
          <w:rFonts w:cs="Arial"/>
        </w:rPr>
        <w:t>, so</w:t>
      </w:r>
      <w:r w:rsidRPr="00526B42">
        <w:rPr>
          <w:rFonts w:cs="Arial"/>
        </w:rPr>
        <w:t xml:space="preserve"> people </w:t>
      </w:r>
      <w:r w:rsidR="00057527">
        <w:rPr>
          <w:rFonts w:cs="Arial"/>
        </w:rPr>
        <w:t>can</w:t>
      </w:r>
      <w:r w:rsidRPr="00526B42">
        <w:rPr>
          <w:rFonts w:cs="Arial"/>
        </w:rPr>
        <w:t xml:space="preserve"> </w:t>
      </w:r>
      <w:r w:rsidR="00057527">
        <w:rPr>
          <w:rFonts w:cs="Arial"/>
        </w:rPr>
        <w:t>choose</w:t>
      </w:r>
      <w:r w:rsidRPr="00526B42">
        <w:rPr>
          <w:rFonts w:cs="Arial"/>
        </w:rPr>
        <w:t xml:space="preserve"> their preferences. This includes offering information in the participant’s first language and </w:t>
      </w:r>
      <w:r w:rsidR="0021497B">
        <w:rPr>
          <w:rFonts w:cs="Arial"/>
        </w:rPr>
        <w:t xml:space="preserve">allowing </w:t>
      </w:r>
      <w:r w:rsidRPr="00526B42">
        <w:rPr>
          <w:rFonts w:cs="Arial"/>
        </w:rPr>
        <w:t xml:space="preserve">verbal consent to be provided in place of a written signature (Coleman et al., 2021). This is also supported by international Good Clinical Practice standards </w:t>
      </w:r>
      <w:r w:rsidR="009C66C2" w:rsidRPr="00526B42">
        <w:rPr>
          <w:rFonts w:cs="Arial"/>
        </w:rPr>
        <w:t>(</w:t>
      </w:r>
      <w:r w:rsidRPr="00526B42">
        <w:rPr>
          <w:rFonts w:cs="Arial"/>
        </w:rPr>
        <w:t>ICH-GCP</w:t>
      </w:r>
      <w:r w:rsidR="00A81757" w:rsidRPr="00526B42">
        <w:rPr>
          <w:rFonts w:cs="Arial"/>
        </w:rPr>
        <w:t>, 2025</w:t>
      </w:r>
      <w:r w:rsidR="009C66C2" w:rsidRPr="00526B42">
        <w:rPr>
          <w:rFonts w:cs="Arial"/>
        </w:rPr>
        <w:t>)</w:t>
      </w:r>
      <w:r w:rsidRPr="00526B42">
        <w:rPr>
          <w:rFonts w:cs="Arial"/>
        </w:rPr>
        <w:t>.</w:t>
      </w:r>
    </w:p>
    <w:p w14:paraId="68C9DC48" w14:textId="0ACF2030" w:rsidR="00466707" w:rsidRPr="00526B42" w:rsidRDefault="00466707" w:rsidP="00466707">
      <w:pPr>
        <w:rPr>
          <w:rFonts w:cs="Arial"/>
        </w:rPr>
      </w:pPr>
      <w:r w:rsidRPr="00526B42">
        <w:rPr>
          <w:rFonts w:cs="Arial"/>
        </w:rPr>
        <w:t xml:space="preserve">“Accessible research design” means fostering inclusive research practices that enables the same opportunity to access information regardless of ability or capability (Rios et al., 2016). Disabling environments and actions can lead to information access challenges, and historically people with vision and hearing </w:t>
      </w:r>
      <w:r w:rsidR="00C33479">
        <w:rPr>
          <w:rFonts w:cs="Arial"/>
        </w:rPr>
        <w:t>differences</w:t>
      </w:r>
      <w:r w:rsidR="00982568">
        <w:rPr>
          <w:rFonts w:cs="Arial"/>
        </w:rPr>
        <w:t>,</w:t>
      </w:r>
      <w:r w:rsidR="00C33479" w:rsidRPr="00526B42">
        <w:rPr>
          <w:rFonts w:cs="Arial"/>
        </w:rPr>
        <w:t xml:space="preserve"> </w:t>
      </w:r>
      <w:r w:rsidR="007E0968" w:rsidRPr="00526B42">
        <w:rPr>
          <w:rFonts w:cs="Arial"/>
        </w:rPr>
        <w:t xml:space="preserve">or </w:t>
      </w:r>
      <w:r w:rsidR="00982568">
        <w:rPr>
          <w:rFonts w:cs="Arial"/>
        </w:rPr>
        <w:t xml:space="preserve">those with sensory-related </w:t>
      </w:r>
      <w:r w:rsidR="007E0968" w:rsidRPr="00526B42">
        <w:rPr>
          <w:rFonts w:cs="Arial"/>
        </w:rPr>
        <w:t>access</w:t>
      </w:r>
      <w:r w:rsidRPr="00526B42">
        <w:rPr>
          <w:rFonts w:cs="Arial"/>
        </w:rPr>
        <w:t xml:space="preserve"> needs</w:t>
      </w:r>
      <w:r w:rsidR="00982568">
        <w:rPr>
          <w:rFonts w:cs="Arial"/>
        </w:rPr>
        <w:t>,</w:t>
      </w:r>
      <w:r w:rsidRPr="00526B42">
        <w:rPr>
          <w:rFonts w:cs="Arial"/>
        </w:rPr>
        <w:t xml:space="preserve"> are disproportionately impacted (Olkin, 2004; Withers &amp; Speight, 2017). Recent updates to country specific (e.g., Australia’s National Statement) (NHMRC-ARC, 2023) and international ICH-GCP standards have seen a shift in the language used to describe the informed consent process to one of “inclusion” and “accessibility” for “a wider and more diverse population” [page 2] (ICH-GCP, 2025). Appraising how informed consent practices have evolved over time is warranted, especially considering the call for more deliberate actions to support equity and accessibility in informed consent processes (Jawa et al., 2023; Shogren, 2023</w:t>
      </w:r>
      <w:r w:rsidR="006A519B" w:rsidRPr="00526B42">
        <w:rPr>
          <w:rFonts w:cs="Arial"/>
        </w:rPr>
        <w:t>; F</w:t>
      </w:r>
      <w:r w:rsidR="009A0705" w:rsidRPr="00526B42">
        <w:rPr>
          <w:rFonts w:cs="Arial"/>
        </w:rPr>
        <w:t>ortune et al., 2021</w:t>
      </w:r>
      <w:r w:rsidRPr="00526B42">
        <w:rPr>
          <w:rFonts w:cs="Arial"/>
        </w:rPr>
        <w:t xml:space="preserve">). </w:t>
      </w:r>
    </w:p>
    <w:p w14:paraId="2314A98C" w14:textId="77777777" w:rsidR="00466707" w:rsidRPr="00526B42" w:rsidRDefault="00466707" w:rsidP="00466707">
      <w:pPr>
        <w:pStyle w:val="Heading2"/>
      </w:pPr>
      <w:r w:rsidRPr="00526B42">
        <w:t xml:space="preserve">Rationale </w:t>
      </w:r>
    </w:p>
    <w:p w14:paraId="435E5938" w14:textId="1B324E30" w:rsidR="008701F7" w:rsidRPr="00526B42" w:rsidRDefault="00466707" w:rsidP="00721D8E">
      <w:pPr>
        <w:rPr>
          <w:rFonts w:cs="Arial"/>
        </w:rPr>
      </w:pPr>
      <w:r w:rsidRPr="00526B42">
        <w:rPr>
          <w:rFonts w:cs="Arial"/>
        </w:rPr>
        <w:t xml:space="preserve">To the best of our knowledge, the only current review of informed consent practices specific to engaging people </w:t>
      </w:r>
      <w:r w:rsidR="00BA20B3">
        <w:rPr>
          <w:rFonts w:cs="Arial"/>
        </w:rPr>
        <w:t>with varied</w:t>
      </w:r>
      <w:r w:rsidR="00BA20B3" w:rsidRPr="00526B42">
        <w:rPr>
          <w:rFonts w:cs="Arial"/>
        </w:rPr>
        <w:t xml:space="preserve"> </w:t>
      </w:r>
      <w:r w:rsidRPr="00526B42">
        <w:rPr>
          <w:rFonts w:cs="Arial"/>
        </w:rPr>
        <w:t xml:space="preserve">visual and/or hearing </w:t>
      </w:r>
      <w:r w:rsidR="00407875">
        <w:rPr>
          <w:rFonts w:cs="Arial"/>
        </w:rPr>
        <w:t>abilities</w:t>
      </w:r>
      <w:r w:rsidR="00F92474">
        <w:rPr>
          <w:rFonts w:cs="Arial"/>
        </w:rPr>
        <w:t xml:space="preserve"> </w:t>
      </w:r>
      <w:r w:rsidRPr="00526B42">
        <w:rPr>
          <w:rFonts w:cs="Arial"/>
        </w:rPr>
        <w:t xml:space="preserve">is a scoping review by Paramasivam and colleagues in 2021 (Paramasivam et al., 2021). This review included studies within a short </w:t>
      </w:r>
      <w:proofErr w:type="gramStart"/>
      <w:r w:rsidRPr="00526B42">
        <w:rPr>
          <w:rFonts w:cs="Arial"/>
        </w:rPr>
        <w:t>time period</w:t>
      </w:r>
      <w:proofErr w:type="gramEnd"/>
      <w:r w:rsidRPr="00526B42">
        <w:rPr>
          <w:rFonts w:cs="Arial"/>
        </w:rPr>
        <w:t xml:space="preserve"> [January 2015 to July 2020], excluded studies pertaining to clinical research and clinical trials, and included studies involving people with cognitive </w:t>
      </w:r>
      <w:r w:rsidR="009A57B5">
        <w:rPr>
          <w:rFonts w:cs="Arial"/>
        </w:rPr>
        <w:t>access needs</w:t>
      </w:r>
      <w:r w:rsidRPr="00526B42">
        <w:rPr>
          <w:rFonts w:cs="Arial"/>
        </w:rPr>
        <w:t xml:space="preserve">. Regarding the latter, the review focused on assessment of capacity for providing informed consent rather than the process itself. A wave of </w:t>
      </w:r>
      <w:r w:rsidR="00D10D80" w:rsidRPr="00526B42">
        <w:rPr>
          <w:rFonts w:cs="Arial"/>
        </w:rPr>
        <w:t xml:space="preserve">recent </w:t>
      </w:r>
      <w:r w:rsidRPr="00526B42">
        <w:rPr>
          <w:rFonts w:cs="Arial"/>
        </w:rPr>
        <w:t xml:space="preserve">articles </w:t>
      </w:r>
      <w:r w:rsidR="00FB4E34" w:rsidRPr="00526B42">
        <w:rPr>
          <w:rFonts w:cs="Arial"/>
        </w:rPr>
        <w:t>has</w:t>
      </w:r>
      <w:r w:rsidRPr="00526B42">
        <w:rPr>
          <w:rFonts w:cs="Arial"/>
        </w:rPr>
        <w:t xml:space="preserve"> explore</w:t>
      </w:r>
      <w:r w:rsidR="00D10D80" w:rsidRPr="00526B42">
        <w:rPr>
          <w:rFonts w:cs="Arial"/>
        </w:rPr>
        <w:t>d</w:t>
      </w:r>
      <w:r w:rsidRPr="00526B42">
        <w:rPr>
          <w:rFonts w:cs="Arial"/>
        </w:rPr>
        <w:t xml:space="preserve"> methodological approaches to conducting an informed consent procedure with people </w:t>
      </w:r>
      <w:r w:rsidR="00A765C3" w:rsidRPr="00526B42">
        <w:rPr>
          <w:rFonts w:cs="Arial"/>
        </w:rPr>
        <w:t>with</w:t>
      </w:r>
      <w:r w:rsidRPr="00526B42">
        <w:rPr>
          <w:rFonts w:cs="Arial"/>
        </w:rPr>
        <w:t xml:space="preserve"> low vision or blindness, and people who are </w:t>
      </w:r>
      <w:r w:rsidR="00C83FCC" w:rsidRPr="00526B42">
        <w:rPr>
          <w:rFonts w:cs="Arial"/>
        </w:rPr>
        <w:t>d</w:t>
      </w:r>
      <w:r w:rsidRPr="00526B42">
        <w:rPr>
          <w:rFonts w:cs="Arial"/>
        </w:rPr>
        <w:t>/</w:t>
      </w:r>
      <w:r w:rsidR="00C83FCC" w:rsidRPr="00526B42">
        <w:rPr>
          <w:rFonts w:cs="Arial"/>
        </w:rPr>
        <w:t>D</w:t>
      </w:r>
      <w:r w:rsidRPr="00526B42">
        <w:rPr>
          <w:rFonts w:cs="Arial"/>
        </w:rPr>
        <w:t xml:space="preserve">eaf </w:t>
      </w:r>
      <w:r w:rsidR="00A765C3" w:rsidRPr="00526B42">
        <w:rPr>
          <w:rFonts w:cs="Arial"/>
        </w:rPr>
        <w:t>or</w:t>
      </w:r>
      <w:r w:rsidRPr="00526B42">
        <w:rPr>
          <w:rFonts w:cs="Arial"/>
        </w:rPr>
        <w:t xml:space="preserve"> Deafblind</w:t>
      </w:r>
      <w:r w:rsidR="007E6920" w:rsidRPr="00526B42">
        <w:rPr>
          <w:rFonts w:cs="Arial"/>
        </w:rPr>
        <w:t xml:space="preserve"> (see </w:t>
      </w:r>
      <w:r w:rsidR="006D0591" w:rsidRPr="00526B42">
        <w:rPr>
          <w:rFonts w:cs="Arial"/>
        </w:rPr>
        <w:t>‘</w:t>
      </w:r>
      <w:r w:rsidR="007E6920" w:rsidRPr="00526B42">
        <w:rPr>
          <w:rFonts w:cs="Arial"/>
        </w:rPr>
        <w:t>Language</w:t>
      </w:r>
      <w:r w:rsidR="007919ED">
        <w:rPr>
          <w:rFonts w:cs="Arial"/>
        </w:rPr>
        <w:t xml:space="preserve"> and terminology</w:t>
      </w:r>
      <w:r w:rsidR="006D0591" w:rsidRPr="00526B42">
        <w:rPr>
          <w:rFonts w:cs="Arial"/>
        </w:rPr>
        <w:t>’ section</w:t>
      </w:r>
      <w:r w:rsidR="007E6920" w:rsidRPr="00526B42">
        <w:rPr>
          <w:rFonts w:cs="Arial"/>
        </w:rPr>
        <w:t xml:space="preserve"> below</w:t>
      </w:r>
      <w:r w:rsidR="006D0591" w:rsidRPr="00526B42">
        <w:rPr>
          <w:rFonts w:cs="Arial"/>
        </w:rPr>
        <w:t>)</w:t>
      </w:r>
      <w:r w:rsidRPr="00526B42">
        <w:rPr>
          <w:rFonts w:cs="Arial"/>
        </w:rPr>
        <w:t xml:space="preserve">. </w:t>
      </w:r>
      <w:r w:rsidR="00C83FCC" w:rsidRPr="00526B42">
        <w:rPr>
          <w:rFonts w:cs="Arial"/>
        </w:rPr>
        <w:t>O</w:t>
      </w:r>
      <w:r w:rsidRPr="00526B42">
        <w:rPr>
          <w:rFonts w:cs="Arial"/>
        </w:rPr>
        <w:t xml:space="preserve">ur systematic review </w:t>
      </w:r>
      <w:r w:rsidR="00FB4E34" w:rsidRPr="00112DC0">
        <w:rPr>
          <w:rFonts w:cs="Arial"/>
        </w:rPr>
        <w:t xml:space="preserve">extends </w:t>
      </w:r>
      <w:r w:rsidR="00C83FCC" w:rsidRPr="00112DC0">
        <w:rPr>
          <w:rFonts w:cs="Arial"/>
        </w:rPr>
        <w:t xml:space="preserve">this </w:t>
      </w:r>
      <w:r w:rsidR="00326754" w:rsidRPr="00112DC0">
        <w:rPr>
          <w:rFonts w:cs="Arial"/>
        </w:rPr>
        <w:t xml:space="preserve">work </w:t>
      </w:r>
      <w:r w:rsidR="00C83FCC" w:rsidRPr="00112DC0">
        <w:rPr>
          <w:rFonts w:cs="Arial"/>
        </w:rPr>
        <w:t>by providing</w:t>
      </w:r>
      <w:r w:rsidR="00326754" w:rsidRPr="00112DC0">
        <w:rPr>
          <w:rFonts w:cs="Arial"/>
        </w:rPr>
        <w:t xml:space="preserve"> a broader analysis of </w:t>
      </w:r>
      <w:r w:rsidRPr="00526B42">
        <w:rPr>
          <w:rFonts w:cs="Arial"/>
        </w:rPr>
        <w:t xml:space="preserve">strategies </w:t>
      </w:r>
      <w:r w:rsidR="000A2762" w:rsidRPr="00112DC0">
        <w:rPr>
          <w:rFonts w:cs="Arial"/>
        </w:rPr>
        <w:t>used</w:t>
      </w:r>
      <w:r w:rsidR="000A2762" w:rsidRPr="00526B42">
        <w:rPr>
          <w:rFonts w:cs="Arial"/>
        </w:rPr>
        <w:t xml:space="preserve"> </w:t>
      </w:r>
      <w:r w:rsidRPr="00526B42">
        <w:rPr>
          <w:rFonts w:cs="Arial"/>
        </w:rPr>
        <w:t xml:space="preserve">to enhance inclusion in the informed consent process for people with </w:t>
      </w:r>
      <w:r w:rsidR="007919ED">
        <w:rPr>
          <w:rFonts w:cs="Arial"/>
        </w:rPr>
        <w:t xml:space="preserve">diverse </w:t>
      </w:r>
      <w:r w:rsidR="00893315" w:rsidRPr="00112DC0">
        <w:rPr>
          <w:rFonts w:cs="Arial"/>
        </w:rPr>
        <w:t>vision and/or hearing</w:t>
      </w:r>
      <w:r w:rsidRPr="00526B42">
        <w:rPr>
          <w:rFonts w:cs="Arial"/>
        </w:rPr>
        <w:t xml:space="preserve"> </w:t>
      </w:r>
      <w:r w:rsidR="007919ED">
        <w:rPr>
          <w:rFonts w:cs="Arial"/>
        </w:rPr>
        <w:t>differences</w:t>
      </w:r>
      <w:r w:rsidRPr="00526B42">
        <w:rPr>
          <w:rFonts w:cs="Arial"/>
        </w:rPr>
        <w:t xml:space="preserve">. </w:t>
      </w:r>
    </w:p>
    <w:p w14:paraId="435E5939" w14:textId="77777777" w:rsidR="008701F7" w:rsidRPr="00526B42" w:rsidRDefault="00ED6592" w:rsidP="00721D8E">
      <w:pPr>
        <w:pStyle w:val="Heading1"/>
        <w:spacing w:after="240"/>
      </w:pPr>
      <w:bookmarkStart w:id="8" w:name="bookmark=id.2s8eyo1" w:colFirst="0" w:colLast="0"/>
      <w:bookmarkEnd w:id="8"/>
      <w:r w:rsidRPr="00526B42">
        <w:t xml:space="preserve">Objectives </w:t>
      </w:r>
    </w:p>
    <w:p w14:paraId="435E593C" w14:textId="4F31A64E" w:rsidR="008701F7" w:rsidRPr="00526B42" w:rsidRDefault="001A6571" w:rsidP="00721D8E">
      <w:pPr>
        <w:rPr>
          <w:rFonts w:cs="Arial"/>
        </w:rPr>
      </w:pPr>
      <w:r w:rsidRPr="00526B42">
        <w:rPr>
          <w:rFonts w:cs="Arial"/>
        </w:rPr>
        <w:t>Our</w:t>
      </w:r>
      <w:r w:rsidR="00FC7F3D" w:rsidRPr="00526B42">
        <w:rPr>
          <w:rFonts w:cs="Arial"/>
        </w:rPr>
        <w:t xml:space="preserve"> systematic review </w:t>
      </w:r>
      <w:r w:rsidR="00FA200F" w:rsidRPr="00526B42">
        <w:rPr>
          <w:rFonts w:cs="Arial"/>
        </w:rPr>
        <w:t>focuse</w:t>
      </w:r>
      <w:r w:rsidRPr="00526B42">
        <w:rPr>
          <w:rFonts w:cs="Arial"/>
        </w:rPr>
        <w:t>d</w:t>
      </w:r>
      <w:r w:rsidR="00FC7F3D" w:rsidRPr="00526B42">
        <w:rPr>
          <w:rFonts w:cs="Arial"/>
        </w:rPr>
        <w:t xml:space="preserve"> on the ethical issues related to informed consent practices </w:t>
      </w:r>
      <w:r w:rsidR="00040D26" w:rsidRPr="00526B42">
        <w:rPr>
          <w:rFonts w:cs="Arial"/>
        </w:rPr>
        <w:t>for</w:t>
      </w:r>
      <w:r w:rsidR="00FC7F3D" w:rsidRPr="00526B42">
        <w:rPr>
          <w:rFonts w:cs="Arial"/>
        </w:rPr>
        <w:t xml:space="preserve"> information access. I</w:t>
      </w:r>
      <w:r w:rsidR="00B15946" w:rsidRPr="00526B42">
        <w:rPr>
          <w:rFonts w:cs="Arial"/>
        </w:rPr>
        <w:t>t</w:t>
      </w:r>
      <w:r w:rsidR="00FC7F3D" w:rsidRPr="00526B42">
        <w:rPr>
          <w:rFonts w:cs="Arial"/>
        </w:rPr>
        <w:t xml:space="preserve"> collate</w:t>
      </w:r>
      <w:r w:rsidR="00B15946" w:rsidRPr="00526B42">
        <w:rPr>
          <w:rFonts w:cs="Arial"/>
        </w:rPr>
        <w:t>d</w:t>
      </w:r>
      <w:r w:rsidR="00FC7F3D" w:rsidRPr="00526B42">
        <w:rPr>
          <w:rFonts w:cs="Arial"/>
        </w:rPr>
        <w:t>, describe</w:t>
      </w:r>
      <w:r w:rsidR="00B15946" w:rsidRPr="00526B42">
        <w:rPr>
          <w:rFonts w:cs="Arial"/>
        </w:rPr>
        <w:t>d</w:t>
      </w:r>
      <w:r w:rsidR="00FC7F3D" w:rsidRPr="00526B42">
        <w:rPr>
          <w:rFonts w:cs="Arial"/>
        </w:rPr>
        <w:t xml:space="preserve"> and characterize</w:t>
      </w:r>
      <w:r w:rsidR="00B15946" w:rsidRPr="00526B42">
        <w:rPr>
          <w:rFonts w:cs="Arial"/>
        </w:rPr>
        <w:t>d</w:t>
      </w:r>
      <w:r w:rsidR="00FC7F3D" w:rsidRPr="00526B42">
        <w:rPr>
          <w:rFonts w:cs="Arial"/>
        </w:rPr>
        <w:t xml:space="preserve"> the available evidence </w:t>
      </w:r>
      <w:r w:rsidR="007B2E84" w:rsidRPr="00526B42">
        <w:rPr>
          <w:rFonts w:cs="Arial"/>
        </w:rPr>
        <w:t>on</w:t>
      </w:r>
      <w:r w:rsidR="00FC7F3D" w:rsidRPr="00526B42">
        <w:rPr>
          <w:rFonts w:cs="Arial"/>
        </w:rPr>
        <w:t xml:space="preserve"> accessibility strategies, </w:t>
      </w:r>
      <w:r w:rsidR="007B2E84" w:rsidRPr="00526B42">
        <w:rPr>
          <w:rFonts w:cs="Arial"/>
        </w:rPr>
        <w:t>including</w:t>
      </w:r>
      <w:r w:rsidR="00FC7F3D" w:rsidRPr="00526B42">
        <w:rPr>
          <w:rFonts w:cs="Arial"/>
        </w:rPr>
        <w:t xml:space="preserve"> the</w:t>
      </w:r>
      <w:r w:rsidR="007B2E84" w:rsidRPr="00526B42">
        <w:rPr>
          <w:rFonts w:cs="Arial"/>
        </w:rPr>
        <w:t>ir</w:t>
      </w:r>
      <w:r w:rsidR="00FC7F3D" w:rsidRPr="00526B42">
        <w:rPr>
          <w:rFonts w:cs="Arial"/>
        </w:rPr>
        <w:t xml:space="preserve"> reported outcomes and impacts. Th</w:t>
      </w:r>
      <w:r w:rsidR="000C279D" w:rsidRPr="00526B42">
        <w:rPr>
          <w:rFonts w:cs="Arial"/>
        </w:rPr>
        <w:t>e</w:t>
      </w:r>
      <w:r w:rsidR="00FC7F3D" w:rsidRPr="00526B42">
        <w:rPr>
          <w:rFonts w:cs="Arial"/>
        </w:rPr>
        <w:t xml:space="preserve"> review synthesize</w:t>
      </w:r>
      <w:r w:rsidR="006C5A9B" w:rsidRPr="00526B42">
        <w:rPr>
          <w:rFonts w:cs="Arial"/>
        </w:rPr>
        <w:t>d</w:t>
      </w:r>
      <w:r w:rsidR="00FC7F3D" w:rsidRPr="00526B42">
        <w:rPr>
          <w:rFonts w:cs="Arial"/>
        </w:rPr>
        <w:t xml:space="preserve"> evidence on the most effective strategies to improve information accessibility and engagement with priority populations</w:t>
      </w:r>
      <w:r w:rsidR="00E47D79" w:rsidRPr="00526B42">
        <w:rPr>
          <w:rFonts w:cs="Arial"/>
        </w:rPr>
        <w:t>, including</w:t>
      </w:r>
      <w:r w:rsidR="00FC7F3D" w:rsidRPr="00526B42">
        <w:rPr>
          <w:rFonts w:cs="Arial"/>
        </w:rPr>
        <w:t xml:space="preserve"> people with </w:t>
      </w:r>
      <w:r w:rsidR="00EB49B8">
        <w:rPr>
          <w:rFonts w:cs="Arial"/>
        </w:rPr>
        <w:t xml:space="preserve">varied </w:t>
      </w:r>
      <w:r w:rsidR="00FC7F3D" w:rsidRPr="00526B42">
        <w:rPr>
          <w:rFonts w:cs="Arial"/>
        </w:rPr>
        <w:t>vision</w:t>
      </w:r>
      <w:r w:rsidR="00EB49B8">
        <w:rPr>
          <w:rFonts w:cs="Arial"/>
        </w:rPr>
        <w:t xml:space="preserve"> levels</w:t>
      </w:r>
      <w:r w:rsidR="00151BE8" w:rsidRPr="00526B42">
        <w:rPr>
          <w:rFonts w:cs="Arial"/>
        </w:rPr>
        <w:t xml:space="preserve"> </w:t>
      </w:r>
      <w:r w:rsidR="00A1285B" w:rsidRPr="00526B42">
        <w:rPr>
          <w:rFonts w:cs="Arial"/>
        </w:rPr>
        <w:t xml:space="preserve">(such as </w:t>
      </w:r>
      <w:r w:rsidR="00FC7F3D" w:rsidRPr="00526B42">
        <w:rPr>
          <w:rFonts w:cs="Arial"/>
        </w:rPr>
        <w:t>low vision and blindness</w:t>
      </w:r>
      <w:r w:rsidR="00A1285B" w:rsidRPr="00526B42">
        <w:rPr>
          <w:rFonts w:cs="Arial"/>
        </w:rPr>
        <w:t>)</w:t>
      </w:r>
      <w:r w:rsidR="00FC7F3D" w:rsidRPr="00526B42">
        <w:rPr>
          <w:rFonts w:cs="Arial"/>
        </w:rPr>
        <w:t xml:space="preserve">, </w:t>
      </w:r>
      <w:r w:rsidR="001A788C" w:rsidRPr="00526B42">
        <w:rPr>
          <w:rFonts w:cs="Arial"/>
        </w:rPr>
        <w:t xml:space="preserve">people who are </w:t>
      </w:r>
      <w:r w:rsidR="00FC7F3D" w:rsidRPr="00526B42">
        <w:rPr>
          <w:rFonts w:cs="Arial"/>
        </w:rPr>
        <w:t xml:space="preserve">d/Deaf and hard of hearing, and </w:t>
      </w:r>
      <w:r w:rsidR="001A788C" w:rsidRPr="00526B42">
        <w:rPr>
          <w:rFonts w:cs="Arial"/>
        </w:rPr>
        <w:t xml:space="preserve">people </w:t>
      </w:r>
      <w:r w:rsidR="00FC7F3D" w:rsidRPr="00526B42">
        <w:rPr>
          <w:rFonts w:cs="Arial"/>
        </w:rPr>
        <w:t xml:space="preserve">with combined vision and hearing </w:t>
      </w:r>
      <w:r w:rsidR="00EB49B8">
        <w:rPr>
          <w:rFonts w:cs="Arial"/>
        </w:rPr>
        <w:t>differences</w:t>
      </w:r>
      <w:r w:rsidR="00FC7F3D" w:rsidRPr="00526B42">
        <w:rPr>
          <w:rFonts w:cs="Arial"/>
        </w:rPr>
        <w:t xml:space="preserve"> </w:t>
      </w:r>
      <w:r w:rsidR="00053C2E" w:rsidRPr="00526B42">
        <w:rPr>
          <w:rFonts w:cs="Arial"/>
        </w:rPr>
        <w:t xml:space="preserve">(such as </w:t>
      </w:r>
      <w:proofErr w:type="spellStart"/>
      <w:r w:rsidR="006C7861" w:rsidRPr="00526B42">
        <w:rPr>
          <w:rFonts w:cs="Arial"/>
        </w:rPr>
        <w:t>d</w:t>
      </w:r>
      <w:r w:rsidR="00FC7F3D" w:rsidRPr="00526B42">
        <w:rPr>
          <w:rFonts w:cs="Arial"/>
        </w:rPr>
        <w:t>eafblindness</w:t>
      </w:r>
      <w:proofErr w:type="spellEnd"/>
      <w:r w:rsidR="006C7861" w:rsidRPr="00526B42">
        <w:rPr>
          <w:rFonts w:cs="Arial"/>
        </w:rPr>
        <w:t>)</w:t>
      </w:r>
      <w:r w:rsidR="00FC7F3D" w:rsidRPr="00526B42">
        <w:rPr>
          <w:rFonts w:cs="Arial"/>
        </w:rPr>
        <w:t xml:space="preserve">. </w:t>
      </w:r>
      <w:r w:rsidR="005B7277" w:rsidRPr="00526B42">
        <w:rPr>
          <w:rFonts w:cs="Arial"/>
        </w:rPr>
        <w:t>T</w:t>
      </w:r>
      <w:r w:rsidR="00FC7F3D" w:rsidRPr="00526B42">
        <w:rPr>
          <w:rFonts w:cs="Arial"/>
        </w:rPr>
        <w:t xml:space="preserve">he review </w:t>
      </w:r>
      <w:r w:rsidR="005B7277" w:rsidRPr="00526B42">
        <w:rPr>
          <w:rFonts w:cs="Arial"/>
        </w:rPr>
        <w:t>also identified</w:t>
      </w:r>
      <w:r w:rsidR="00FC7F3D" w:rsidRPr="00526B42">
        <w:rPr>
          <w:rFonts w:cs="Arial"/>
        </w:rPr>
        <w:t xml:space="preserve"> knowledge </w:t>
      </w:r>
      <w:r w:rsidR="00F34D5B" w:rsidRPr="00526B42">
        <w:rPr>
          <w:rFonts w:cs="Arial"/>
        </w:rPr>
        <w:t>and</w:t>
      </w:r>
      <w:r w:rsidR="00FC7F3D" w:rsidRPr="00526B42">
        <w:rPr>
          <w:rFonts w:cs="Arial"/>
        </w:rPr>
        <w:t xml:space="preserve"> practice gaps</w:t>
      </w:r>
      <w:r w:rsidR="00F34D5B" w:rsidRPr="00526B42">
        <w:rPr>
          <w:rFonts w:cs="Arial"/>
        </w:rPr>
        <w:t xml:space="preserve"> and</w:t>
      </w:r>
      <w:r w:rsidR="00FC7F3D" w:rsidRPr="00526B42">
        <w:rPr>
          <w:rFonts w:cs="Arial"/>
        </w:rPr>
        <w:t xml:space="preserve"> highlight</w:t>
      </w:r>
      <w:r w:rsidR="00F34D5B" w:rsidRPr="00526B42">
        <w:rPr>
          <w:rFonts w:cs="Arial"/>
        </w:rPr>
        <w:t>ed</w:t>
      </w:r>
      <w:r w:rsidR="00FC7F3D" w:rsidRPr="00526B42">
        <w:rPr>
          <w:rFonts w:cs="Arial"/>
        </w:rPr>
        <w:t xml:space="preserve"> areas for future research.</w:t>
      </w:r>
    </w:p>
    <w:p w14:paraId="435E593D" w14:textId="77777777" w:rsidR="008701F7" w:rsidRPr="00526B42" w:rsidRDefault="00ED6592" w:rsidP="00721D8E">
      <w:pPr>
        <w:pStyle w:val="Heading1"/>
        <w:spacing w:after="240"/>
      </w:pPr>
      <w:bookmarkStart w:id="9" w:name="bookmark=id.17dp8vu" w:colFirst="0" w:colLast="0"/>
      <w:bookmarkEnd w:id="9"/>
      <w:r w:rsidRPr="00526B42">
        <w:t xml:space="preserve">Methods </w:t>
      </w:r>
    </w:p>
    <w:p w14:paraId="2D8A72AA" w14:textId="46CC6A7A" w:rsidR="00C80893" w:rsidRPr="00526B42" w:rsidRDefault="00C80893" w:rsidP="00C80893">
      <w:pPr>
        <w:rPr>
          <w:rFonts w:cs="Arial"/>
        </w:rPr>
      </w:pPr>
      <w:bookmarkStart w:id="10" w:name="bookmark=id.26in1rg" w:colFirst="0" w:colLast="0"/>
      <w:bookmarkStart w:id="11" w:name="bookmark=id.3rdcrjn" w:colFirst="0" w:colLast="0"/>
      <w:bookmarkEnd w:id="10"/>
      <w:bookmarkEnd w:id="11"/>
      <w:r w:rsidRPr="00526B42">
        <w:rPr>
          <w:rFonts w:cs="Arial"/>
        </w:rPr>
        <w:t>This systematic review follow</w:t>
      </w:r>
      <w:r w:rsidR="000B27E3" w:rsidRPr="00526B42">
        <w:rPr>
          <w:rFonts w:cs="Arial"/>
        </w:rPr>
        <w:t>ed</w:t>
      </w:r>
      <w:r w:rsidRPr="00526B42">
        <w:rPr>
          <w:rFonts w:cs="Arial"/>
        </w:rPr>
        <w:t xml:space="preserve"> the protocol submitted and registered on PROSPERO [registration number CRD42024587188]. The </w:t>
      </w:r>
      <w:r w:rsidR="009C0C5D" w:rsidRPr="00526B42">
        <w:rPr>
          <w:rFonts w:cs="Arial"/>
        </w:rPr>
        <w:t xml:space="preserve">review </w:t>
      </w:r>
      <w:r w:rsidRPr="00526B42">
        <w:rPr>
          <w:rFonts w:cs="Arial"/>
        </w:rPr>
        <w:t xml:space="preserve">protocol was submitted for publication in October 2024 and accepted for publication in September 2025 (Name removed for </w:t>
      </w:r>
      <w:r w:rsidR="00CB27AE" w:rsidRPr="00526B42">
        <w:rPr>
          <w:rFonts w:cs="Arial"/>
        </w:rPr>
        <w:t>peer review/</w:t>
      </w:r>
      <w:r w:rsidRPr="00526B42">
        <w:rPr>
          <w:rFonts w:cs="Arial"/>
        </w:rPr>
        <w:t xml:space="preserve">anonymity, 2025). The results are presented </w:t>
      </w:r>
      <w:r w:rsidR="00320300" w:rsidRPr="00526B42">
        <w:rPr>
          <w:rFonts w:cs="Arial"/>
        </w:rPr>
        <w:t>regarding</w:t>
      </w:r>
      <w:r w:rsidRPr="00526B42">
        <w:rPr>
          <w:rFonts w:cs="Arial"/>
        </w:rPr>
        <w:t xml:space="preserve"> the Preferred Reporting Items for Systematic Reviews and Meta-Analysis (PRISMA) statement</w:t>
      </w:r>
      <w:r w:rsidR="003D04F1" w:rsidRPr="00526B42">
        <w:rPr>
          <w:rFonts w:cs="Arial"/>
        </w:rPr>
        <w:t xml:space="preserve"> (</w:t>
      </w:r>
      <w:r w:rsidR="00A40B51" w:rsidRPr="00526B42">
        <w:rPr>
          <w:rFonts w:cs="Arial"/>
        </w:rPr>
        <w:t>Page et al., 2021)</w:t>
      </w:r>
      <w:r w:rsidRPr="00526B42">
        <w:rPr>
          <w:rFonts w:cs="Arial"/>
        </w:rPr>
        <w:t xml:space="preserve">. </w:t>
      </w:r>
    </w:p>
    <w:p w14:paraId="13144DE1" w14:textId="77777777" w:rsidR="005938AC" w:rsidRPr="00526B42" w:rsidRDefault="005938AC" w:rsidP="003B0783">
      <w:pPr>
        <w:pStyle w:val="Heading2"/>
      </w:pPr>
      <w:r w:rsidRPr="00526B42">
        <w:t>Eligibility criteria</w:t>
      </w:r>
    </w:p>
    <w:p w14:paraId="0CFC78E6" w14:textId="2743EBA0" w:rsidR="005938AC" w:rsidRPr="00526B42" w:rsidRDefault="005938AC" w:rsidP="005938AC">
      <w:pPr>
        <w:rPr>
          <w:rFonts w:cs="Arial"/>
        </w:rPr>
      </w:pPr>
      <w:r w:rsidRPr="00526B42">
        <w:rPr>
          <w:rFonts w:cs="Arial"/>
        </w:rPr>
        <w:t>We present our eligibility criteria in our protocol paper (</w:t>
      </w:r>
      <w:r w:rsidR="0056136A">
        <w:rPr>
          <w:rFonts w:cs="Arial"/>
        </w:rPr>
        <w:t>O’Hare</w:t>
      </w:r>
      <w:r w:rsidRPr="00526B42">
        <w:rPr>
          <w:rFonts w:cs="Arial"/>
        </w:rPr>
        <w:t xml:space="preserve"> et al., 2025). </w:t>
      </w:r>
      <w:r w:rsidR="00D15CB4" w:rsidRPr="00526B42">
        <w:rPr>
          <w:rFonts w:cs="Arial"/>
        </w:rPr>
        <w:t>To summarize, we</w:t>
      </w:r>
      <w:r w:rsidRPr="00526B42">
        <w:rPr>
          <w:rFonts w:cs="Arial"/>
        </w:rPr>
        <w:t xml:space="preserve"> included</w:t>
      </w:r>
      <w:r w:rsidR="00D15CB4" w:rsidRPr="00526B42">
        <w:rPr>
          <w:rFonts w:cs="Arial"/>
        </w:rPr>
        <w:t xml:space="preserve"> articles</w:t>
      </w:r>
      <w:r w:rsidRPr="00526B42">
        <w:rPr>
          <w:rFonts w:cs="Arial"/>
        </w:rPr>
        <w:t>:</w:t>
      </w:r>
    </w:p>
    <w:p w14:paraId="4CB6BFF5" w14:textId="70205397" w:rsidR="005938AC" w:rsidRPr="00526B42" w:rsidRDefault="005938AC" w:rsidP="00B82EE5">
      <w:pPr>
        <w:pStyle w:val="ListParagraph"/>
        <w:numPr>
          <w:ilvl w:val="0"/>
          <w:numId w:val="3"/>
        </w:numPr>
        <w:rPr>
          <w:rFonts w:cs="Arial"/>
        </w:rPr>
      </w:pPr>
      <w:r w:rsidRPr="00526B42">
        <w:rPr>
          <w:rFonts w:cs="Arial"/>
        </w:rPr>
        <w:t xml:space="preserve">Published from January 2000 to </w:t>
      </w:r>
      <w:r w:rsidR="00986C5B" w:rsidRPr="00526B42">
        <w:rPr>
          <w:rFonts w:cs="Arial"/>
        </w:rPr>
        <w:t xml:space="preserve">July </w:t>
      </w:r>
      <w:r w:rsidRPr="00526B42">
        <w:rPr>
          <w:rFonts w:cs="Arial"/>
        </w:rPr>
        <w:t>2025.</w:t>
      </w:r>
    </w:p>
    <w:p w14:paraId="19EF00E2" w14:textId="070F37AB" w:rsidR="005938AC" w:rsidRPr="00526B42" w:rsidRDefault="009512C7" w:rsidP="00B82EE5">
      <w:pPr>
        <w:pStyle w:val="ListParagraph"/>
        <w:numPr>
          <w:ilvl w:val="0"/>
          <w:numId w:val="3"/>
        </w:numPr>
        <w:rPr>
          <w:rFonts w:cs="Arial"/>
        </w:rPr>
      </w:pPr>
      <w:r w:rsidRPr="00526B42">
        <w:rPr>
          <w:rFonts w:cs="Arial"/>
        </w:rPr>
        <w:t>A</w:t>
      </w:r>
      <w:r w:rsidR="005938AC" w:rsidRPr="00526B42">
        <w:rPr>
          <w:rFonts w:cs="Arial"/>
        </w:rPr>
        <w:t xml:space="preserve">vailable in English [note: if an eligible study was published in a language other than English, efforts were made to translate the article]. </w:t>
      </w:r>
    </w:p>
    <w:p w14:paraId="0101A0A4" w14:textId="4162624E" w:rsidR="005938AC" w:rsidRPr="00526B42" w:rsidRDefault="005938AC" w:rsidP="00B82EE5">
      <w:pPr>
        <w:pStyle w:val="ListParagraph"/>
        <w:numPr>
          <w:ilvl w:val="0"/>
          <w:numId w:val="3"/>
        </w:numPr>
        <w:rPr>
          <w:rFonts w:cs="Arial"/>
        </w:rPr>
      </w:pPr>
      <w:r w:rsidRPr="00526B42">
        <w:rPr>
          <w:rFonts w:cs="Arial"/>
        </w:rPr>
        <w:t>Examin</w:t>
      </w:r>
      <w:r w:rsidR="00B8360F" w:rsidRPr="00526B42">
        <w:rPr>
          <w:rFonts w:cs="Arial"/>
        </w:rPr>
        <w:t>ed</w:t>
      </w:r>
      <w:r w:rsidRPr="00526B42">
        <w:rPr>
          <w:rFonts w:cs="Arial"/>
        </w:rPr>
        <w:t xml:space="preserve"> accessible information and communication strategies for clinical research participation or informed consent processes.</w:t>
      </w:r>
    </w:p>
    <w:p w14:paraId="367C7272" w14:textId="2B5AA8A1" w:rsidR="005938AC" w:rsidRPr="00526B42" w:rsidRDefault="005938AC" w:rsidP="00B82EE5">
      <w:pPr>
        <w:pStyle w:val="ListParagraph"/>
        <w:numPr>
          <w:ilvl w:val="0"/>
          <w:numId w:val="3"/>
        </w:numPr>
        <w:rPr>
          <w:rFonts w:cs="Arial"/>
        </w:rPr>
      </w:pPr>
      <w:r w:rsidRPr="00526B42">
        <w:rPr>
          <w:rFonts w:cs="Arial"/>
        </w:rPr>
        <w:t>Involv</w:t>
      </w:r>
      <w:r w:rsidR="00B8360F" w:rsidRPr="00526B42">
        <w:rPr>
          <w:rFonts w:cs="Arial"/>
        </w:rPr>
        <w:t>ed</w:t>
      </w:r>
      <w:r w:rsidRPr="00526B42">
        <w:rPr>
          <w:rFonts w:cs="Arial"/>
        </w:rPr>
        <w:t xml:space="preserve"> people with lived experience of vision and/or hearing </w:t>
      </w:r>
      <w:r w:rsidR="00DB7BDE">
        <w:rPr>
          <w:rFonts w:cs="Arial"/>
        </w:rPr>
        <w:t>difference</w:t>
      </w:r>
      <w:r w:rsidR="00564237">
        <w:rPr>
          <w:rFonts w:cs="Arial"/>
        </w:rPr>
        <w:t>s</w:t>
      </w:r>
      <w:r w:rsidR="00DB7BDE">
        <w:rPr>
          <w:rFonts w:cs="Arial"/>
        </w:rPr>
        <w:t xml:space="preserve">, </w:t>
      </w:r>
      <w:r w:rsidR="00B146A1">
        <w:rPr>
          <w:rFonts w:cs="Arial"/>
        </w:rPr>
        <w:t xml:space="preserve">or </w:t>
      </w:r>
      <w:r w:rsidRPr="00526B42">
        <w:rPr>
          <w:rFonts w:cs="Arial"/>
        </w:rPr>
        <w:t>research staff or health professionals engaged in research and consent practices</w:t>
      </w:r>
      <w:r w:rsidR="00B146A1">
        <w:rPr>
          <w:rFonts w:cs="Arial"/>
        </w:rPr>
        <w:t>.</w:t>
      </w:r>
    </w:p>
    <w:p w14:paraId="5F3F421A" w14:textId="2D0C6346" w:rsidR="005938AC" w:rsidRPr="00526B42" w:rsidRDefault="00B8360F" w:rsidP="00B82EE5">
      <w:pPr>
        <w:pStyle w:val="ListParagraph"/>
        <w:numPr>
          <w:ilvl w:val="0"/>
          <w:numId w:val="3"/>
        </w:numPr>
        <w:rPr>
          <w:rFonts w:cs="Arial"/>
        </w:rPr>
      </w:pPr>
      <w:r w:rsidRPr="00526B42">
        <w:rPr>
          <w:rFonts w:cs="Arial"/>
        </w:rPr>
        <w:t>E</w:t>
      </w:r>
      <w:r w:rsidR="00365716" w:rsidRPr="00526B42">
        <w:rPr>
          <w:rFonts w:cs="Arial"/>
        </w:rPr>
        <w:t>mployed q</w:t>
      </w:r>
      <w:r w:rsidR="005938AC" w:rsidRPr="00526B42">
        <w:rPr>
          <w:rFonts w:cs="Arial"/>
        </w:rPr>
        <w:t>ualitative, quantitative, or mixed methods approaches.</w:t>
      </w:r>
    </w:p>
    <w:p w14:paraId="18D7B7B7" w14:textId="657904CF" w:rsidR="005938AC" w:rsidRPr="00526B42" w:rsidRDefault="00365716" w:rsidP="00365716">
      <w:pPr>
        <w:rPr>
          <w:rFonts w:cs="Arial"/>
        </w:rPr>
      </w:pPr>
      <w:r w:rsidRPr="00526B42">
        <w:rPr>
          <w:rFonts w:cs="Arial"/>
        </w:rPr>
        <w:t>Articles were e</w:t>
      </w:r>
      <w:r w:rsidR="005938AC" w:rsidRPr="00526B42">
        <w:rPr>
          <w:rFonts w:cs="Arial"/>
        </w:rPr>
        <w:t xml:space="preserve">xcluded if </w:t>
      </w:r>
      <w:r w:rsidR="00CD7617" w:rsidRPr="00526B42">
        <w:rPr>
          <w:rFonts w:cs="Arial"/>
        </w:rPr>
        <w:t xml:space="preserve">they </w:t>
      </w:r>
      <w:r w:rsidR="000B677C" w:rsidRPr="00526B42">
        <w:rPr>
          <w:rFonts w:cs="Arial"/>
        </w:rPr>
        <w:t xml:space="preserve">did not present </w:t>
      </w:r>
      <w:r w:rsidR="005938AC" w:rsidRPr="00526B42">
        <w:rPr>
          <w:rFonts w:cs="Arial"/>
        </w:rPr>
        <w:t>empirical data, or if the study did not have accessible research participation or informed consent practices as a major finding or focus.</w:t>
      </w:r>
    </w:p>
    <w:p w14:paraId="26AF99E9" w14:textId="77777777" w:rsidR="005938AC" w:rsidRPr="00526B42" w:rsidRDefault="005938AC" w:rsidP="00B82EE5">
      <w:pPr>
        <w:pStyle w:val="Heading2"/>
      </w:pPr>
      <w:r w:rsidRPr="00526B42">
        <w:t>Search strategy</w:t>
      </w:r>
    </w:p>
    <w:p w14:paraId="39B03C7D" w14:textId="77777777" w:rsidR="005938AC" w:rsidRPr="00526B42" w:rsidRDefault="005938AC" w:rsidP="005938AC">
      <w:pPr>
        <w:rPr>
          <w:rFonts w:cs="Arial"/>
        </w:rPr>
      </w:pPr>
      <w:r w:rsidRPr="00526B42">
        <w:rPr>
          <w:rFonts w:cs="Arial"/>
        </w:rPr>
        <w:t xml:space="preserve">We conducted a pilot search in August 2024 that identified search terms to develop into a search strategy using Medline (Ovid) and Google Scholar.  This process involved two experienced librarians. </w:t>
      </w:r>
    </w:p>
    <w:p w14:paraId="390D4DC5" w14:textId="15A071B5" w:rsidR="005938AC" w:rsidRPr="00526B42" w:rsidRDefault="005938AC" w:rsidP="005938AC">
      <w:pPr>
        <w:rPr>
          <w:rFonts w:cs="Arial"/>
        </w:rPr>
      </w:pPr>
      <w:r w:rsidRPr="00526B42">
        <w:rPr>
          <w:rFonts w:cs="Arial"/>
        </w:rPr>
        <w:t>We [</w:t>
      </w:r>
      <w:r w:rsidR="000E16CC" w:rsidRPr="00526B42">
        <w:rPr>
          <w:rFonts w:cs="Arial"/>
        </w:rPr>
        <w:t>author initials</w:t>
      </w:r>
      <w:r w:rsidR="000B677C" w:rsidRPr="00526B42">
        <w:rPr>
          <w:rFonts w:cs="Arial"/>
        </w:rPr>
        <w:t xml:space="preserve"> removed</w:t>
      </w:r>
      <w:r w:rsidR="00C54972" w:rsidRPr="00526B42">
        <w:rPr>
          <w:rFonts w:cs="Arial"/>
        </w:rPr>
        <w:t xml:space="preserve"> for peer review</w:t>
      </w:r>
      <w:r w:rsidRPr="00526B42">
        <w:rPr>
          <w:rFonts w:cs="Arial"/>
        </w:rPr>
        <w:t xml:space="preserve">] performed a comprehensive search in September 2024 using Medline (Ovid), Scopus, PsycINFO (Ovid), Embase (Ovid) and CINAHL (EBSCO). Google Scholar was also included, as a grey literature source in addition to Scopus and CINAHL. The search was developed and tested in Medline (Ovid) then translated and tested </w:t>
      </w:r>
      <w:r w:rsidR="005239FA">
        <w:rPr>
          <w:rFonts w:cs="Arial"/>
        </w:rPr>
        <w:t xml:space="preserve">in </w:t>
      </w:r>
      <w:r w:rsidRPr="00526B42">
        <w:rPr>
          <w:rFonts w:cs="Arial"/>
        </w:rPr>
        <w:t xml:space="preserve">other databases (Clark et al., 2020). The search strategy was </w:t>
      </w:r>
      <w:r w:rsidR="00194AA5" w:rsidRPr="00526B42">
        <w:rPr>
          <w:rFonts w:cs="Arial"/>
        </w:rPr>
        <w:t xml:space="preserve">benchmarked </w:t>
      </w:r>
      <w:r w:rsidR="00DA098C" w:rsidRPr="00526B42">
        <w:rPr>
          <w:rFonts w:cs="Arial"/>
        </w:rPr>
        <w:t>by testing whether it retrieved a set of pre-identified key papers</w:t>
      </w:r>
      <w:r w:rsidRPr="00526B42">
        <w:rPr>
          <w:rFonts w:cs="Arial"/>
        </w:rPr>
        <w:t>. To ensure currency at the time of publication the search was r</w:t>
      </w:r>
      <w:r w:rsidR="00373D66" w:rsidRPr="00526B42">
        <w:rPr>
          <w:rFonts w:cs="Arial"/>
        </w:rPr>
        <w:t>epeated</w:t>
      </w:r>
      <w:r w:rsidRPr="00526B42">
        <w:rPr>
          <w:rFonts w:cs="Arial"/>
        </w:rPr>
        <w:t xml:space="preserve"> in July 2025.</w:t>
      </w:r>
    </w:p>
    <w:p w14:paraId="4E6D478C" w14:textId="77777777" w:rsidR="005938AC" w:rsidRPr="00526B42" w:rsidRDefault="005938AC" w:rsidP="005938AC">
      <w:pPr>
        <w:rPr>
          <w:rFonts w:cs="Arial"/>
        </w:rPr>
      </w:pPr>
      <w:r w:rsidRPr="00526B42">
        <w:rPr>
          <w:rFonts w:cs="Arial"/>
        </w:rPr>
        <w:t xml:space="preserve">The search strategy consisted of two concepts: </w:t>
      </w:r>
    </w:p>
    <w:p w14:paraId="515E9C8D" w14:textId="229DA292" w:rsidR="005938AC" w:rsidRPr="00526B42" w:rsidRDefault="005938AC" w:rsidP="005938AC">
      <w:pPr>
        <w:rPr>
          <w:rFonts w:cs="Arial"/>
        </w:rPr>
      </w:pPr>
      <w:r w:rsidRPr="00526B42">
        <w:rPr>
          <w:rFonts w:cs="Arial"/>
        </w:rPr>
        <w:t xml:space="preserve">Sensory terms; vision impairment, hearing difficulty and </w:t>
      </w:r>
      <w:proofErr w:type="spellStart"/>
      <w:r w:rsidR="005F618D">
        <w:rPr>
          <w:rFonts w:cs="Arial"/>
        </w:rPr>
        <w:t>d</w:t>
      </w:r>
      <w:r w:rsidRPr="00526B42">
        <w:rPr>
          <w:rFonts w:cs="Arial"/>
        </w:rPr>
        <w:t>eafblindness</w:t>
      </w:r>
      <w:proofErr w:type="spellEnd"/>
      <w:r w:rsidRPr="00526B42">
        <w:rPr>
          <w:rFonts w:cs="Arial"/>
        </w:rPr>
        <w:t>. The term “blind” retrieve</w:t>
      </w:r>
      <w:r w:rsidR="005F618D">
        <w:rPr>
          <w:rFonts w:cs="Arial"/>
        </w:rPr>
        <w:t>d</w:t>
      </w:r>
      <w:r w:rsidRPr="00526B42">
        <w:rPr>
          <w:rFonts w:cs="Arial"/>
        </w:rPr>
        <w:t xml:space="preserve"> double-blind and single-blind studies so multiple narrower terms were used.</w:t>
      </w:r>
    </w:p>
    <w:p w14:paraId="35A8AD22" w14:textId="77777777" w:rsidR="005938AC" w:rsidRPr="00526B42" w:rsidRDefault="005938AC" w:rsidP="005938AC">
      <w:pPr>
        <w:rPr>
          <w:rFonts w:cs="Arial"/>
        </w:rPr>
      </w:pPr>
      <w:r w:rsidRPr="00526B42">
        <w:rPr>
          <w:rFonts w:cs="Arial"/>
        </w:rPr>
        <w:t>Research terms; consent, research (design, clinical trial, participation, recruitment, engagement) and inclusion (inclusive research, participatory design, engagement, accessibility). The broader term “consent” was used to ensure all ways of describing informed consent were captured.</w:t>
      </w:r>
    </w:p>
    <w:p w14:paraId="53CE0994" w14:textId="7757B3CB" w:rsidR="005938AC" w:rsidRPr="00526B42" w:rsidRDefault="005938AC" w:rsidP="005938AC">
      <w:pPr>
        <w:rPr>
          <w:rFonts w:cs="Arial"/>
        </w:rPr>
      </w:pPr>
      <w:r w:rsidRPr="00526B42">
        <w:rPr>
          <w:rFonts w:cs="Arial"/>
        </w:rPr>
        <w:t xml:space="preserve">We limited to studies published from 2000 onwards </w:t>
      </w:r>
      <w:r w:rsidR="00ED093A" w:rsidRPr="00526B42">
        <w:rPr>
          <w:rFonts w:cs="Arial"/>
        </w:rPr>
        <w:t>to reflect the rapid expansion of digital information technologies and assistive technologies that have fundamentally changed how research information is accessed and communicated</w:t>
      </w:r>
      <w:r w:rsidRPr="00526B42">
        <w:rPr>
          <w:rFonts w:cs="Arial"/>
        </w:rPr>
        <w:t xml:space="preserve"> (Gesualdo et al., 2021; Kiernan et al., 2023).</w:t>
      </w:r>
      <w:r w:rsidR="000E2D42" w:rsidRPr="00526B42">
        <w:rPr>
          <w:rFonts w:cs="Arial"/>
        </w:rPr>
        <w:t xml:space="preserve"> </w:t>
      </w:r>
      <w:r w:rsidR="00307B00" w:rsidRPr="00526B42">
        <w:rPr>
          <w:rFonts w:cs="Arial"/>
        </w:rPr>
        <w:t>T</w:t>
      </w:r>
      <w:r w:rsidRPr="00526B42">
        <w:rPr>
          <w:rFonts w:cs="Arial"/>
        </w:rPr>
        <w:t xml:space="preserve">his </w:t>
      </w:r>
      <w:r w:rsidR="00307B00" w:rsidRPr="00526B42">
        <w:rPr>
          <w:rFonts w:cs="Arial"/>
        </w:rPr>
        <w:t>timeframe</w:t>
      </w:r>
      <w:r w:rsidRPr="00526B42">
        <w:rPr>
          <w:rFonts w:cs="Arial"/>
        </w:rPr>
        <w:t xml:space="preserve"> was </w:t>
      </w:r>
      <w:r w:rsidR="00CE599F" w:rsidRPr="00526B42">
        <w:rPr>
          <w:rFonts w:cs="Arial"/>
        </w:rPr>
        <w:t xml:space="preserve">selected to capture contemporary informed consent practices that incorporate </w:t>
      </w:r>
      <w:r w:rsidRPr="00526B42">
        <w:rPr>
          <w:rFonts w:cs="Arial"/>
        </w:rPr>
        <w:t>accessib</w:t>
      </w:r>
      <w:r w:rsidR="00CE599F" w:rsidRPr="00526B42">
        <w:rPr>
          <w:rFonts w:cs="Arial"/>
        </w:rPr>
        <w:t>ility considerations,</w:t>
      </w:r>
      <w:r w:rsidRPr="00526B42">
        <w:rPr>
          <w:rFonts w:cs="Arial"/>
        </w:rPr>
        <w:t xml:space="preserve"> </w:t>
      </w:r>
      <w:r w:rsidR="00904C57" w:rsidRPr="00526B42">
        <w:rPr>
          <w:rFonts w:cs="Arial"/>
        </w:rPr>
        <w:t xml:space="preserve">which have become more prominent with evolving ethical and </w:t>
      </w:r>
      <w:r w:rsidRPr="00526B42">
        <w:rPr>
          <w:rFonts w:cs="Arial"/>
        </w:rPr>
        <w:t>best practice</w:t>
      </w:r>
      <w:r w:rsidR="00904C57" w:rsidRPr="00526B42">
        <w:rPr>
          <w:rFonts w:cs="Arial"/>
        </w:rPr>
        <w:t xml:space="preserve"> standards</w:t>
      </w:r>
      <w:r w:rsidR="00B04A97" w:rsidRPr="00526B42">
        <w:rPr>
          <w:rFonts w:cs="Arial"/>
        </w:rPr>
        <w:t>.</w:t>
      </w:r>
      <w:r w:rsidRPr="00526B42">
        <w:rPr>
          <w:rFonts w:cs="Arial"/>
        </w:rPr>
        <w:t xml:space="preserve"> The initial search was conducted in September 2024 and </w:t>
      </w:r>
      <w:r w:rsidR="00623526" w:rsidRPr="00526B42">
        <w:rPr>
          <w:rFonts w:cs="Arial"/>
        </w:rPr>
        <w:t>repeated</w:t>
      </w:r>
      <w:r w:rsidRPr="009907FC">
        <w:rPr>
          <w:rFonts w:cs="Arial"/>
        </w:rPr>
        <w:t xml:space="preserve"> in July 2025 to ensure that the search was current at the time of publication. </w:t>
      </w:r>
    </w:p>
    <w:p w14:paraId="22525F57" w14:textId="767F8A3A" w:rsidR="005938AC" w:rsidRPr="00526B42" w:rsidRDefault="005938AC" w:rsidP="005938AC">
      <w:pPr>
        <w:rPr>
          <w:rFonts w:cs="Arial"/>
        </w:rPr>
      </w:pPr>
      <w:r w:rsidRPr="00526B42">
        <w:rPr>
          <w:rFonts w:cs="Arial"/>
        </w:rPr>
        <w:t xml:space="preserve">We identified additional studies </w:t>
      </w:r>
      <w:r w:rsidR="000A64E9" w:rsidRPr="00526B42">
        <w:rPr>
          <w:rFonts w:cs="Arial"/>
        </w:rPr>
        <w:t xml:space="preserve">through backward </w:t>
      </w:r>
      <w:r w:rsidR="00590653" w:rsidRPr="00526B42">
        <w:rPr>
          <w:rFonts w:cs="Arial"/>
        </w:rPr>
        <w:t xml:space="preserve">(reference list) </w:t>
      </w:r>
      <w:r w:rsidR="000A64E9" w:rsidRPr="00526B42">
        <w:rPr>
          <w:rFonts w:cs="Arial"/>
        </w:rPr>
        <w:t>and forward</w:t>
      </w:r>
      <w:r w:rsidRPr="00526B42">
        <w:rPr>
          <w:rFonts w:cs="Arial"/>
        </w:rPr>
        <w:t xml:space="preserve"> </w:t>
      </w:r>
      <w:r w:rsidR="000A64E9" w:rsidRPr="00526B42">
        <w:rPr>
          <w:rFonts w:cs="Arial"/>
        </w:rPr>
        <w:t xml:space="preserve">citation searching </w:t>
      </w:r>
      <w:r w:rsidR="00A06D1D" w:rsidRPr="00526B42">
        <w:rPr>
          <w:rFonts w:cs="Arial"/>
        </w:rPr>
        <w:t>using the Cited Reference Search and citing article functions in</w:t>
      </w:r>
      <w:r w:rsidRPr="00526B42">
        <w:rPr>
          <w:rFonts w:cs="Arial"/>
        </w:rPr>
        <w:t xml:space="preserve"> Web of Science and Scopus</w:t>
      </w:r>
      <w:r w:rsidR="00512695" w:rsidRPr="00526B42">
        <w:rPr>
          <w:rFonts w:cs="Arial"/>
        </w:rPr>
        <w:t>, alongside citation searchers in Scopus</w:t>
      </w:r>
      <w:r w:rsidRPr="00526B42">
        <w:rPr>
          <w:rFonts w:cs="Arial"/>
        </w:rPr>
        <w:t xml:space="preserve"> (Hirt et al., 2024)</w:t>
      </w:r>
      <w:r w:rsidR="00512695" w:rsidRPr="00526B42">
        <w:rPr>
          <w:rFonts w:cs="Arial"/>
        </w:rPr>
        <w:t>.</w:t>
      </w:r>
      <w:r w:rsidRPr="00526B42">
        <w:rPr>
          <w:rFonts w:cs="Arial"/>
        </w:rPr>
        <w:t xml:space="preserve"> </w:t>
      </w:r>
      <w:r w:rsidR="00512695" w:rsidRPr="00526B42">
        <w:rPr>
          <w:rFonts w:cs="Arial"/>
        </w:rPr>
        <w:t>We also</w:t>
      </w:r>
      <w:r w:rsidR="00EA5F6F" w:rsidRPr="00526B42">
        <w:rPr>
          <w:rFonts w:cs="Arial"/>
        </w:rPr>
        <w:t xml:space="preserve"> screen</w:t>
      </w:r>
      <w:r w:rsidR="00512695" w:rsidRPr="00526B42">
        <w:rPr>
          <w:rFonts w:cs="Arial"/>
        </w:rPr>
        <w:t>ed</w:t>
      </w:r>
      <w:r w:rsidR="00EA5F6F" w:rsidRPr="00526B42">
        <w:rPr>
          <w:rFonts w:cs="Arial"/>
        </w:rPr>
        <w:t xml:space="preserve"> </w:t>
      </w:r>
      <w:r w:rsidRPr="00526B42">
        <w:rPr>
          <w:rFonts w:cs="Arial"/>
        </w:rPr>
        <w:t xml:space="preserve">the reference lists of key systematic reviews identified </w:t>
      </w:r>
      <w:r w:rsidR="00777E88" w:rsidRPr="00526B42">
        <w:rPr>
          <w:rFonts w:cs="Arial"/>
        </w:rPr>
        <w:t xml:space="preserve">during the </w:t>
      </w:r>
      <w:r w:rsidRPr="00526B42">
        <w:rPr>
          <w:rFonts w:cs="Arial"/>
        </w:rPr>
        <w:t xml:space="preserve">pilot search. </w:t>
      </w:r>
    </w:p>
    <w:p w14:paraId="4D2047A6" w14:textId="15E6CDF5" w:rsidR="005938AC" w:rsidRPr="00526B42" w:rsidRDefault="005938AC" w:rsidP="004A188D">
      <w:pPr>
        <w:pStyle w:val="Heading2"/>
      </w:pPr>
      <w:r w:rsidRPr="00526B42">
        <w:t xml:space="preserve">Language </w:t>
      </w:r>
      <w:r w:rsidR="00A11CA1">
        <w:t>and terminology</w:t>
      </w:r>
    </w:p>
    <w:p w14:paraId="0954D51F" w14:textId="5277DF48" w:rsidR="001C0CD3" w:rsidRPr="00526B42" w:rsidRDefault="005938AC" w:rsidP="005938AC">
      <w:pPr>
        <w:rPr>
          <w:rFonts w:cs="Arial"/>
        </w:rPr>
      </w:pPr>
      <w:r w:rsidRPr="00526B42">
        <w:rPr>
          <w:rFonts w:cs="Arial"/>
        </w:rPr>
        <w:t>Search terms were broad, recognizing that the language people use to refer to disability</w:t>
      </w:r>
      <w:r w:rsidR="000C0F4A" w:rsidRPr="00526B42">
        <w:rPr>
          <w:rFonts w:cs="Arial"/>
        </w:rPr>
        <w:t xml:space="preserve"> and lived experience</w:t>
      </w:r>
      <w:r w:rsidRPr="00526B42">
        <w:rPr>
          <w:rFonts w:cs="Arial"/>
        </w:rPr>
        <w:t xml:space="preserve"> is personal. We acknowledge and respect individual choice over how people refer to their </w:t>
      </w:r>
      <w:r w:rsidR="008921E3" w:rsidRPr="00526B42">
        <w:rPr>
          <w:rFonts w:cs="Arial"/>
        </w:rPr>
        <w:t xml:space="preserve">identity and recognize </w:t>
      </w:r>
      <w:r w:rsidR="001C0CD3" w:rsidRPr="00526B42">
        <w:rPr>
          <w:rFonts w:cs="Arial"/>
        </w:rPr>
        <w:t>that</w:t>
      </w:r>
      <w:r w:rsidRPr="00526B42">
        <w:rPr>
          <w:rFonts w:cs="Arial"/>
        </w:rPr>
        <w:t xml:space="preserve"> some people may not consider themselves as a person with disability. </w:t>
      </w:r>
    </w:p>
    <w:p w14:paraId="0F529DBD" w14:textId="726C6673" w:rsidR="002F5AEE" w:rsidRPr="00526B42" w:rsidRDefault="005938AC" w:rsidP="005938AC">
      <w:pPr>
        <w:rPr>
          <w:rFonts w:cs="Arial"/>
        </w:rPr>
      </w:pPr>
      <w:r w:rsidRPr="00526B42">
        <w:rPr>
          <w:rFonts w:cs="Arial"/>
        </w:rPr>
        <w:t>In the blindness community, person-first language is often preferred such as person with vision impairment, low vision or blindness. In the Deaf community, identity-first language is often preferred such as Deaf person</w:t>
      </w:r>
      <w:r w:rsidR="001C0CD3" w:rsidRPr="00526B42">
        <w:rPr>
          <w:rFonts w:cs="Arial"/>
        </w:rPr>
        <w:t>.</w:t>
      </w:r>
      <w:r w:rsidRPr="00526B42">
        <w:rPr>
          <w:rFonts w:cs="Arial"/>
        </w:rPr>
        <w:t xml:space="preserve"> </w:t>
      </w:r>
      <w:r w:rsidR="001C0CD3" w:rsidRPr="00526B42">
        <w:rPr>
          <w:rFonts w:cs="Arial"/>
        </w:rPr>
        <w:t>W</w:t>
      </w:r>
      <w:r w:rsidRPr="00526B42">
        <w:rPr>
          <w:rFonts w:cs="Arial"/>
        </w:rPr>
        <w:t xml:space="preserve">hen referring to </w:t>
      </w:r>
      <w:r w:rsidR="00562443" w:rsidRPr="00526B42">
        <w:rPr>
          <w:rFonts w:cs="Arial"/>
        </w:rPr>
        <w:t>hearing differences</w:t>
      </w:r>
      <w:r w:rsidRPr="00526B42">
        <w:rPr>
          <w:rFonts w:cs="Arial"/>
        </w:rPr>
        <w:t xml:space="preserve">, </w:t>
      </w:r>
      <w:r w:rsidR="00562443" w:rsidRPr="00526B42">
        <w:rPr>
          <w:rFonts w:cs="Arial"/>
        </w:rPr>
        <w:t xml:space="preserve">terms such as </w:t>
      </w:r>
      <w:r w:rsidRPr="00526B42">
        <w:rPr>
          <w:rFonts w:cs="Arial"/>
        </w:rPr>
        <w:t>deaf or hard of hearing</w:t>
      </w:r>
      <w:r w:rsidR="00562443" w:rsidRPr="00526B42">
        <w:rPr>
          <w:rFonts w:cs="Arial"/>
        </w:rPr>
        <w:t xml:space="preserve"> (</w:t>
      </w:r>
      <w:proofErr w:type="spellStart"/>
      <w:r w:rsidRPr="00526B42">
        <w:rPr>
          <w:rFonts w:cs="Arial"/>
        </w:rPr>
        <w:t>HoH</w:t>
      </w:r>
      <w:proofErr w:type="spellEnd"/>
      <w:r w:rsidR="00562443" w:rsidRPr="00526B42">
        <w:rPr>
          <w:rFonts w:cs="Arial"/>
        </w:rPr>
        <w:t>)</w:t>
      </w:r>
      <w:r w:rsidRPr="00526B42">
        <w:rPr>
          <w:rFonts w:cs="Arial"/>
        </w:rPr>
        <w:t xml:space="preserve"> </w:t>
      </w:r>
      <w:r w:rsidR="002F5AEE" w:rsidRPr="00526B42">
        <w:rPr>
          <w:rFonts w:cs="Arial"/>
        </w:rPr>
        <w:t xml:space="preserve">may be used </w:t>
      </w:r>
      <w:r w:rsidRPr="00526B42">
        <w:rPr>
          <w:rFonts w:cs="Arial"/>
        </w:rPr>
        <w:t xml:space="preserve">rather than </w:t>
      </w:r>
      <w:r w:rsidR="002F5AEE" w:rsidRPr="00526B42">
        <w:rPr>
          <w:rFonts w:cs="Arial"/>
        </w:rPr>
        <w:t>‘</w:t>
      </w:r>
      <w:r w:rsidRPr="00526B42">
        <w:rPr>
          <w:rFonts w:cs="Arial"/>
        </w:rPr>
        <w:t>hearing impaired</w:t>
      </w:r>
      <w:r w:rsidR="002F5AEE" w:rsidRPr="00526B42">
        <w:rPr>
          <w:rFonts w:cs="Arial"/>
        </w:rPr>
        <w:t>’</w:t>
      </w:r>
      <w:r w:rsidRPr="00526B42">
        <w:rPr>
          <w:rFonts w:cs="Arial"/>
        </w:rPr>
        <w:t xml:space="preserve">. </w:t>
      </w:r>
    </w:p>
    <w:p w14:paraId="6A698A3D" w14:textId="24F2042F" w:rsidR="005938AC" w:rsidRPr="00526B42" w:rsidRDefault="002F5AEE" w:rsidP="005938AC">
      <w:pPr>
        <w:rPr>
          <w:rFonts w:cs="Arial"/>
        </w:rPr>
      </w:pPr>
      <w:r w:rsidRPr="00526B42">
        <w:rPr>
          <w:rFonts w:cs="Arial"/>
        </w:rPr>
        <w:t>In this review</w:t>
      </w:r>
      <w:r w:rsidR="00373DFD" w:rsidRPr="00526B42">
        <w:rPr>
          <w:rFonts w:cs="Arial"/>
        </w:rPr>
        <w:t>, lowercase “deaf” refers to hearing differences, while uppercase “Deaf” refers to people who identify with Deaf culture and community. Where app</w:t>
      </w:r>
      <w:r w:rsidR="0045499A" w:rsidRPr="00526B42">
        <w:rPr>
          <w:rFonts w:cs="Arial"/>
        </w:rPr>
        <w:t xml:space="preserve">ropriate, we use “d/Deaf” to acknowledge this diversity. </w:t>
      </w:r>
      <w:r w:rsidR="00D041ED" w:rsidRPr="00526B42">
        <w:rPr>
          <w:rFonts w:cs="Arial"/>
        </w:rPr>
        <w:t xml:space="preserve">Similarly, “deafblind” is used when referring to both vison and hearing differences, and “Deafblind” when referring to cultural identity. </w:t>
      </w:r>
      <w:r w:rsidR="005938AC" w:rsidRPr="00526B42">
        <w:rPr>
          <w:rFonts w:cs="Arial"/>
        </w:rPr>
        <w:t xml:space="preserve">Additionally, specifying the </w:t>
      </w:r>
      <w:r w:rsidR="0082171E" w:rsidRPr="00526B42">
        <w:rPr>
          <w:rFonts w:cs="Arial"/>
        </w:rPr>
        <w:t xml:space="preserve">condition </w:t>
      </w:r>
      <w:r w:rsidR="005938AC" w:rsidRPr="00526B42">
        <w:rPr>
          <w:rFonts w:cs="Arial"/>
        </w:rPr>
        <w:t>without reference to the person is also used</w:t>
      </w:r>
      <w:r w:rsidR="0082171E" w:rsidRPr="00526B42">
        <w:rPr>
          <w:rFonts w:cs="Arial"/>
        </w:rPr>
        <w:t>,</w:t>
      </w:r>
      <w:r w:rsidR="005938AC" w:rsidRPr="00526B42">
        <w:rPr>
          <w:rFonts w:cs="Arial"/>
        </w:rPr>
        <w:t xml:space="preserve"> </w:t>
      </w:r>
      <w:r w:rsidR="0082171E" w:rsidRPr="00526B42">
        <w:rPr>
          <w:rFonts w:cs="Arial"/>
        </w:rPr>
        <w:t>for example</w:t>
      </w:r>
      <w:r w:rsidR="005938AC" w:rsidRPr="00526B42">
        <w:rPr>
          <w:rFonts w:cs="Arial"/>
        </w:rPr>
        <w:t xml:space="preserve"> </w:t>
      </w:r>
      <w:proofErr w:type="spellStart"/>
      <w:r w:rsidR="005938AC" w:rsidRPr="00526B42">
        <w:rPr>
          <w:rFonts w:cs="Arial"/>
        </w:rPr>
        <w:t>deafblindness</w:t>
      </w:r>
      <w:proofErr w:type="spellEnd"/>
      <w:r w:rsidR="005938AC" w:rsidRPr="00526B42">
        <w:rPr>
          <w:rFonts w:cs="Arial"/>
        </w:rPr>
        <w:t xml:space="preserve"> or deafblind. </w:t>
      </w:r>
      <w:r w:rsidR="00ED1369" w:rsidRPr="00526B42">
        <w:rPr>
          <w:rFonts w:cs="Arial"/>
        </w:rPr>
        <w:t>Capit</w:t>
      </w:r>
      <w:r w:rsidR="008600CF" w:rsidRPr="00526B42">
        <w:rPr>
          <w:rFonts w:cs="Arial"/>
        </w:rPr>
        <w:t>aliz</w:t>
      </w:r>
      <w:r w:rsidR="001B6645" w:rsidRPr="00526B42">
        <w:rPr>
          <w:rFonts w:cs="Arial"/>
        </w:rPr>
        <w:t>ation</w:t>
      </w:r>
      <w:r w:rsidR="008600CF" w:rsidRPr="00526B42">
        <w:rPr>
          <w:rFonts w:cs="Arial"/>
        </w:rPr>
        <w:t xml:space="preserve"> </w:t>
      </w:r>
      <w:r w:rsidR="001B6645" w:rsidRPr="00526B42">
        <w:rPr>
          <w:rFonts w:cs="Arial"/>
        </w:rPr>
        <w:t xml:space="preserve">may be used where individuals or communities identify </w:t>
      </w:r>
      <w:r w:rsidR="00252DC1" w:rsidRPr="00526B42">
        <w:rPr>
          <w:rFonts w:cs="Arial"/>
        </w:rPr>
        <w:t xml:space="preserve">with a particular cultural or linguistic identity. </w:t>
      </w:r>
    </w:p>
    <w:p w14:paraId="6DE92551" w14:textId="3A509BA2" w:rsidR="005938AC" w:rsidRPr="00526B42" w:rsidRDefault="005938AC" w:rsidP="005938AC">
      <w:pPr>
        <w:rPr>
          <w:rFonts w:cs="Arial"/>
        </w:rPr>
      </w:pPr>
      <w:r w:rsidRPr="00526B42">
        <w:rPr>
          <w:rFonts w:cs="Arial"/>
        </w:rPr>
        <w:t>Within this review, we have aligned the language with these preferences</w:t>
      </w:r>
      <w:r w:rsidR="00360F9C" w:rsidRPr="00526B42">
        <w:rPr>
          <w:rFonts w:cs="Arial"/>
        </w:rPr>
        <w:t>, while</w:t>
      </w:r>
      <w:r w:rsidRPr="00526B42">
        <w:rPr>
          <w:rFonts w:cs="Arial"/>
        </w:rPr>
        <w:t xml:space="preserve"> noting that </w:t>
      </w:r>
      <w:r w:rsidR="00360F9C" w:rsidRPr="00526B42">
        <w:rPr>
          <w:rFonts w:cs="Arial"/>
        </w:rPr>
        <w:t>our</w:t>
      </w:r>
      <w:r w:rsidRPr="00526B42">
        <w:rPr>
          <w:rFonts w:cs="Arial"/>
        </w:rPr>
        <w:t xml:space="preserve"> search strategy was </w:t>
      </w:r>
      <w:r w:rsidR="00360F9C" w:rsidRPr="00526B42">
        <w:rPr>
          <w:rFonts w:cs="Arial"/>
        </w:rPr>
        <w:t xml:space="preserve">intentionally </w:t>
      </w:r>
      <w:r w:rsidRPr="00526B42">
        <w:rPr>
          <w:rFonts w:cs="Arial"/>
        </w:rPr>
        <w:t xml:space="preserve">broader to </w:t>
      </w:r>
      <w:r w:rsidR="00360F9C" w:rsidRPr="00526B42">
        <w:rPr>
          <w:rFonts w:cs="Arial"/>
        </w:rPr>
        <w:t>capture</w:t>
      </w:r>
      <w:r w:rsidRPr="00526B42">
        <w:rPr>
          <w:rFonts w:cs="Arial"/>
        </w:rPr>
        <w:t xml:space="preserve"> the </w:t>
      </w:r>
      <w:r w:rsidR="00360F9C" w:rsidRPr="00526B42">
        <w:rPr>
          <w:rFonts w:cs="Arial"/>
        </w:rPr>
        <w:t>range</w:t>
      </w:r>
      <w:r w:rsidR="00AA6729" w:rsidRPr="00526B42">
        <w:rPr>
          <w:rFonts w:cs="Arial"/>
        </w:rPr>
        <w:t xml:space="preserve"> of terminology used across the literature</w:t>
      </w:r>
      <w:r w:rsidRPr="00526B42">
        <w:rPr>
          <w:rFonts w:cs="Arial"/>
        </w:rPr>
        <w:t xml:space="preserve">. </w:t>
      </w:r>
      <w:r w:rsidR="00AA6729" w:rsidRPr="00526B42">
        <w:rPr>
          <w:rFonts w:cs="Arial"/>
        </w:rPr>
        <w:t xml:space="preserve">Importantly, </w:t>
      </w:r>
      <w:r w:rsidRPr="00526B42">
        <w:rPr>
          <w:rFonts w:cs="Arial"/>
        </w:rPr>
        <w:t xml:space="preserve">there is significant diversity within </w:t>
      </w:r>
      <w:r w:rsidR="00BF3A33" w:rsidRPr="00526B42">
        <w:rPr>
          <w:rFonts w:cs="Arial"/>
        </w:rPr>
        <w:t xml:space="preserve">and across </w:t>
      </w:r>
      <w:r w:rsidRPr="00526B42">
        <w:rPr>
          <w:rFonts w:cs="Arial"/>
        </w:rPr>
        <w:t xml:space="preserve">these communities regarding abilities, capacity and use of assistive technology. Communication preferences and information needs are unique to </w:t>
      </w:r>
      <w:proofErr w:type="gramStart"/>
      <w:r w:rsidRPr="00526B42">
        <w:rPr>
          <w:rFonts w:cs="Arial"/>
        </w:rPr>
        <w:t>each individual</w:t>
      </w:r>
      <w:proofErr w:type="gramEnd"/>
      <w:r w:rsidRPr="00526B42">
        <w:rPr>
          <w:rFonts w:cs="Arial"/>
        </w:rPr>
        <w:t xml:space="preserve">. </w:t>
      </w:r>
      <w:r w:rsidR="00B05814" w:rsidRPr="00526B42">
        <w:rPr>
          <w:rFonts w:cs="Arial"/>
        </w:rPr>
        <w:t>This approach reflects our commitment to inclusive and respectful language throughout the review.</w:t>
      </w:r>
      <w:r w:rsidR="00CF2EDD" w:rsidRPr="00526B42">
        <w:t xml:space="preserve"> </w:t>
      </w:r>
      <w:r w:rsidR="006C60CA" w:rsidRPr="00526B42">
        <w:t xml:space="preserve">However, </w:t>
      </w:r>
      <w:r w:rsidR="006C60CA" w:rsidRPr="00526B42">
        <w:rPr>
          <w:rFonts w:cs="Arial"/>
        </w:rPr>
        <w:t>w</w:t>
      </w:r>
      <w:r w:rsidR="00CF2EDD" w:rsidRPr="00526B42">
        <w:rPr>
          <w:rFonts w:cs="Arial"/>
        </w:rPr>
        <w:t xml:space="preserve">e retain terminology used in the original studies when reporting findings, even where this differs from preferred contemporary language. </w:t>
      </w:r>
    </w:p>
    <w:p w14:paraId="2449887E" w14:textId="77777777" w:rsidR="005938AC" w:rsidRPr="00526B42" w:rsidRDefault="005938AC" w:rsidP="004A188D">
      <w:pPr>
        <w:pStyle w:val="Heading2"/>
      </w:pPr>
      <w:r w:rsidRPr="00526B42">
        <w:t>Selection process</w:t>
      </w:r>
    </w:p>
    <w:p w14:paraId="34060B30" w14:textId="37C08FBF" w:rsidR="005938AC" w:rsidRPr="00526B42" w:rsidRDefault="005938AC" w:rsidP="005938AC">
      <w:pPr>
        <w:rPr>
          <w:rFonts w:cs="Arial"/>
        </w:rPr>
      </w:pPr>
      <w:r w:rsidRPr="00526B42">
        <w:rPr>
          <w:rFonts w:cs="Arial"/>
        </w:rPr>
        <w:t xml:space="preserve">Search yields were imported into Covidence, a specialized program for conducting systematic reviews </w:t>
      </w:r>
      <w:r w:rsidR="00B764D9">
        <w:rPr>
          <w:rFonts w:cs="Arial"/>
        </w:rPr>
        <w:t xml:space="preserve">which </w:t>
      </w:r>
      <w:r w:rsidRPr="00526B42">
        <w:rPr>
          <w:rFonts w:cs="Arial"/>
        </w:rPr>
        <w:t xml:space="preserve">aided the process of screening (Covidence systematic review software, </w:t>
      </w:r>
      <w:r w:rsidR="00B764D9">
        <w:rPr>
          <w:rFonts w:cs="Arial"/>
        </w:rPr>
        <w:t xml:space="preserve">version X8, </w:t>
      </w:r>
      <w:r w:rsidRPr="00526B42">
        <w:rPr>
          <w:rFonts w:cs="Arial"/>
        </w:rPr>
        <w:t>Veritas Health Innovation, Melbourne, Australia. Available at www.covidence.org). All references were systematically sorted and reviewed for duplicates within Covidence. First, all titles and abstracts were screened for eligibility and inclusion; the first author [</w:t>
      </w:r>
      <w:r w:rsidR="009716AC">
        <w:rPr>
          <w:rFonts w:cs="Arial"/>
        </w:rPr>
        <w:t>FOH</w:t>
      </w:r>
      <w:r w:rsidRPr="00526B42">
        <w:rPr>
          <w:rFonts w:cs="Arial"/>
        </w:rPr>
        <w:t>] reviewed all articles, and authors [</w:t>
      </w:r>
      <w:r w:rsidR="009716AC">
        <w:rPr>
          <w:rFonts w:cs="Arial"/>
        </w:rPr>
        <w:t>ST, AC, EGR</w:t>
      </w:r>
      <w:r w:rsidRPr="00526B42">
        <w:rPr>
          <w:rFonts w:cs="Arial"/>
        </w:rPr>
        <w:t>] screened approximately 30% of articles each. Next, full texts of relevant articles were independently read and assessed against the eligibility criteria [</w:t>
      </w:r>
      <w:r w:rsidR="00905322">
        <w:rPr>
          <w:rFonts w:cs="Arial"/>
        </w:rPr>
        <w:t>FOH, ST</w:t>
      </w:r>
      <w:r w:rsidRPr="00526B42">
        <w:rPr>
          <w:rFonts w:cs="Arial"/>
        </w:rPr>
        <w:t xml:space="preserve">]. Both authors then met to discuss their findings and agree on the final set of articles for inclusion [100% agreement was reached without the involvement of a third reviewer for discordance]. </w:t>
      </w:r>
    </w:p>
    <w:p w14:paraId="66E7F9DD" w14:textId="77777777" w:rsidR="005938AC" w:rsidRPr="00526B42" w:rsidRDefault="005938AC" w:rsidP="004A188D">
      <w:pPr>
        <w:pStyle w:val="Heading2"/>
      </w:pPr>
      <w:r w:rsidRPr="00526B42">
        <w:t>Data collection process involving data extraction</w:t>
      </w:r>
    </w:p>
    <w:p w14:paraId="6C6993C9" w14:textId="76C172A8" w:rsidR="005938AC" w:rsidRPr="00526B42" w:rsidRDefault="009C25FF" w:rsidP="005938AC">
      <w:pPr>
        <w:rPr>
          <w:rFonts w:cs="Arial"/>
        </w:rPr>
      </w:pPr>
      <w:r w:rsidRPr="00526B42">
        <w:rPr>
          <w:rFonts w:cs="Arial"/>
        </w:rPr>
        <w:t>Data were</w:t>
      </w:r>
      <w:r w:rsidR="005938AC" w:rsidRPr="00526B42">
        <w:rPr>
          <w:rFonts w:cs="Arial"/>
        </w:rPr>
        <w:t xml:space="preserve"> extracted by the lead author into an excel spreadsheet that followed a pre-defined template [see published protocol, </w:t>
      </w:r>
      <w:r w:rsidR="00CF53BC">
        <w:rPr>
          <w:rFonts w:cs="Arial"/>
        </w:rPr>
        <w:t xml:space="preserve">O’Hare et al., </w:t>
      </w:r>
      <w:r w:rsidR="005938AC" w:rsidRPr="00526B42">
        <w:rPr>
          <w:rFonts w:cs="Arial"/>
        </w:rPr>
        <w:t>2025]. A second author [</w:t>
      </w:r>
      <w:r w:rsidR="00D80C3D">
        <w:rPr>
          <w:rFonts w:cs="Arial"/>
        </w:rPr>
        <w:t>ST</w:t>
      </w:r>
      <w:r w:rsidR="005938AC" w:rsidRPr="00526B42">
        <w:rPr>
          <w:rFonts w:cs="Arial"/>
        </w:rPr>
        <w:t>] independently extracted data for 25% of the articles to check concordance with data extracted. The following information was extracted from articles into a source table: first author, inclusion of authors with lived experience [Y/N], year, country, ethnicity/culture, population category, number of participants, sampling, research question or focus, aims, study design, data collection methods, what was being measured, outcomes/relevant results for this review, outputs, recommendations, if and what accessible consent practices were used as part of the research design, and reviewer comments. Care was taken to preserve the text and narration of the main results from each paper to preserve the interpretation from the original study. Contributors had two meetings to review data extracted</w:t>
      </w:r>
      <w:r w:rsidR="001B62E9" w:rsidRPr="00526B42">
        <w:rPr>
          <w:rFonts w:cs="Arial"/>
        </w:rPr>
        <w:t xml:space="preserve"> and confirm adequacy and accuracy</w:t>
      </w:r>
      <w:r w:rsidR="005938AC" w:rsidRPr="001476C2">
        <w:rPr>
          <w:rFonts w:cs="Arial"/>
        </w:rPr>
        <w:t xml:space="preserve">. </w:t>
      </w:r>
    </w:p>
    <w:p w14:paraId="29577391" w14:textId="77777777" w:rsidR="005938AC" w:rsidRPr="00526B42" w:rsidRDefault="005938AC" w:rsidP="004A188D">
      <w:pPr>
        <w:pStyle w:val="Heading2"/>
      </w:pPr>
      <w:r w:rsidRPr="00526B42">
        <w:t>Quality Assessment of included studies</w:t>
      </w:r>
    </w:p>
    <w:p w14:paraId="1AF94ABC" w14:textId="544985DF" w:rsidR="005938AC" w:rsidRPr="00526B42" w:rsidRDefault="005938AC" w:rsidP="005938AC">
      <w:pPr>
        <w:rPr>
          <w:rFonts w:cs="Arial"/>
        </w:rPr>
      </w:pPr>
      <w:r w:rsidRPr="00526B42">
        <w:rPr>
          <w:rFonts w:cs="Arial"/>
        </w:rPr>
        <w:t xml:space="preserve">Two systems were employed to assess the quality of the evidence. The first </w:t>
      </w:r>
      <w:r w:rsidR="00B3536A" w:rsidRPr="00526B42">
        <w:rPr>
          <w:rFonts w:cs="Arial"/>
        </w:rPr>
        <w:t xml:space="preserve">used </w:t>
      </w:r>
      <w:r w:rsidR="00AB52B6" w:rsidRPr="00526B42">
        <w:rPr>
          <w:rFonts w:cs="Arial"/>
        </w:rPr>
        <w:t xml:space="preserve">was </w:t>
      </w:r>
      <w:r w:rsidR="00B3536A" w:rsidRPr="00526B42">
        <w:rPr>
          <w:rFonts w:cs="Arial"/>
        </w:rPr>
        <w:t xml:space="preserve">the </w:t>
      </w:r>
      <w:r w:rsidR="00B3536A" w:rsidRPr="00033005">
        <w:rPr>
          <w:rFonts w:cs="Arial"/>
          <w:b/>
          <w:bCs/>
        </w:rPr>
        <w:t xml:space="preserve">Standard Quality Assessment Criteria for Evaluating Primary Research Papers or </w:t>
      </w:r>
      <w:r w:rsidRPr="00033005">
        <w:rPr>
          <w:rFonts w:cs="Arial"/>
          <w:b/>
          <w:bCs/>
        </w:rPr>
        <w:t>QualSyst</w:t>
      </w:r>
      <w:r w:rsidR="00B3536A" w:rsidRPr="00033005">
        <w:rPr>
          <w:rFonts w:cs="Arial"/>
          <w:b/>
          <w:bCs/>
        </w:rPr>
        <w:t xml:space="preserve"> tool</w:t>
      </w:r>
      <w:r w:rsidR="00521849" w:rsidRPr="00033005">
        <w:rPr>
          <w:rFonts w:cs="Arial"/>
          <w:b/>
          <w:bCs/>
        </w:rPr>
        <w:t xml:space="preserve"> </w:t>
      </w:r>
      <w:r w:rsidR="00521849" w:rsidRPr="00526B42">
        <w:rPr>
          <w:rFonts w:cs="Arial"/>
        </w:rPr>
        <w:t>(Kmet et al., 2004). This is</w:t>
      </w:r>
      <w:r w:rsidRPr="00526B42">
        <w:rPr>
          <w:rFonts w:cs="Arial"/>
        </w:rPr>
        <w:t xml:space="preserve"> a ‘within’ article assessment focused on study design across 14 criteria for quantitative studies and 10 criteria for qualitative </w:t>
      </w:r>
      <w:proofErr w:type="gramStart"/>
      <w:r w:rsidRPr="00526B42">
        <w:rPr>
          <w:rFonts w:cs="Arial"/>
        </w:rPr>
        <w:t>studies  [</w:t>
      </w:r>
      <w:proofErr w:type="gramEnd"/>
      <w:r w:rsidRPr="00526B42">
        <w:rPr>
          <w:rFonts w:cs="Arial"/>
        </w:rPr>
        <w:t xml:space="preserve">see </w:t>
      </w:r>
      <w:r w:rsidR="006F1726" w:rsidRPr="00526B42">
        <w:rPr>
          <w:rFonts w:cs="Arial"/>
        </w:rPr>
        <w:t xml:space="preserve">our </w:t>
      </w:r>
      <w:r w:rsidRPr="00526B42">
        <w:rPr>
          <w:rFonts w:cs="Arial"/>
        </w:rPr>
        <w:t xml:space="preserve">published protocol for QualSyst checklist]. Each criterion was scored depending on the degree to which the specific criteria was met with “yes” equalling a score of </w:t>
      </w:r>
      <w:r w:rsidR="00375E78" w:rsidRPr="00526B42">
        <w:rPr>
          <w:rFonts w:cs="Arial"/>
        </w:rPr>
        <w:t>2</w:t>
      </w:r>
      <w:r w:rsidRPr="00526B42">
        <w:rPr>
          <w:rFonts w:cs="Arial"/>
        </w:rPr>
        <w:t xml:space="preserve">, “partial” equating to a score of </w:t>
      </w:r>
      <w:r w:rsidR="00375E78" w:rsidRPr="00526B42">
        <w:rPr>
          <w:rFonts w:cs="Arial"/>
        </w:rPr>
        <w:t>1</w:t>
      </w:r>
      <w:r w:rsidRPr="00526B42">
        <w:rPr>
          <w:rFonts w:cs="Arial"/>
        </w:rPr>
        <w:t xml:space="preserve">, and “no” equating to a score of </w:t>
      </w:r>
      <w:r w:rsidR="00375E78" w:rsidRPr="00526B42">
        <w:rPr>
          <w:rFonts w:cs="Arial"/>
        </w:rPr>
        <w:t>0</w:t>
      </w:r>
      <w:r w:rsidRPr="00526B42">
        <w:rPr>
          <w:rFonts w:cs="Arial"/>
        </w:rPr>
        <w:t>. Not applicable, no score, could also be applied.</w:t>
      </w:r>
      <w:r w:rsidR="00375E78" w:rsidRPr="00526B42">
        <w:rPr>
          <w:rFonts w:cs="Arial"/>
        </w:rPr>
        <w:t xml:space="preserve"> </w:t>
      </w:r>
    </w:p>
    <w:p w14:paraId="61911B82" w14:textId="3B501C7C" w:rsidR="00705AAE" w:rsidRPr="00526B42" w:rsidRDefault="005938AC" w:rsidP="00705AAE">
      <w:pPr>
        <w:rPr>
          <w:rFonts w:cs="Arial"/>
        </w:rPr>
      </w:pPr>
      <w:r w:rsidRPr="00526B42">
        <w:rPr>
          <w:rFonts w:cs="Arial"/>
        </w:rPr>
        <w:t>Two authors [</w:t>
      </w:r>
      <w:r w:rsidR="004160DC">
        <w:rPr>
          <w:rFonts w:cs="Arial"/>
        </w:rPr>
        <w:t>FOH, ST</w:t>
      </w:r>
      <w:r w:rsidRPr="00526B42">
        <w:rPr>
          <w:rFonts w:cs="Arial"/>
        </w:rPr>
        <w:t>] independently assessed all included articles</w:t>
      </w:r>
      <w:r w:rsidR="00A14602" w:rsidRPr="00526B42">
        <w:rPr>
          <w:rFonts w:cs="Arial"/>
        </w:rPr>
        <w:t>.</w:t>
      </w:r>
      <w:r w:rsidRPr="00526B42">
        <w:rPr>
          <w:rFonts w:cs="Arial"/>
        </w:rPr>
        <w:t xml:space="preserve"> </w:t>
      </w:r>
      <w:r w:rsidR="00705AAE" w:rsidRPr="00526B42">
        <w:rPr>
          <w:rFonts w:cs="Arial"/>
        </w:rPr>
        <w:t>Inter-rater agreement was assessed using weighted Cohen’s kappa for ordinal QualSyst ratings, with percentage agreement also calculated. Discrepancies were resolved through discussion and consensus.</w:t>
      </w:r>
    </w:p>
    <w:p w14:paraId="11E30662" w14:textId="5988E3AB" w:rsidR="002633D0" w:rsidRPr="00526B42" w:rsidRDefault="006F5E55" w:rsidP="005938AC">
      <w:pPr>
        <w:rPr>
          <w:rFonts w:cs="Arial"/>
        </w:rPr>
      </w:pPr>
      <w:r w:rsidRPr="00526B42">
        <w:rPr>
          <w:rFonts w:cs="Arial"/>
        </w:rPr>
        <w:t xml:space="preserve">To be clear about our methods, </w:t>
      </w:r>
      <w:r w:rsidR="002633D0" w:rsidRPr="00526B42">
        <w:rPr>
          <w:rFonts w:cs="Arial"/>
        </w:rPr>
        <w:t xml:space="preserve">we assessed ethnography as a qualitative approach that focused on an in-depth study of cultures and </w:t>
      </w:r>
      <w:proofErr w:type="spellStart"/>
      <w:r w:rsidR="002633D0" w:rsidRPr="00526B42">
        <w:rPr>
          <w:rFonts w:cs="Arial"/>
        </w:rPr>
        <w:t>behaviors</w:t>
      </w:r>
      <w:proofErr w:type="spellEnd"/>
      <w:r w:rsidR="002633D0" w:rsidRPr="00526B42">
        <w:rPr>
          <w:rFonts w:cs="Arial"/>
        </w:rPr>
        <w:t xml:space="preserve"> through observation, which could be combined with other qualitative methods such as interviews (Hammersley &amp; Atkinson, 2019). We assessed appreciative inquiry as a strength based, collaborative or participatory action approach, that focused on identifying the positive aspects of what worked well, and in what setting (Cooperrider &amp; Whitney, 2007; Wallerstein &amp; Duran, 2006).</w:t>
      </w:r>
    </w:p>
    <w:p w14:paraId="7A0D3401" w14:textId="77777777" w:rsidR="005938AC" w:rsidRPr="00526B42" w:rsidRDefault="005938AC" w:rsidP="004A188D">
      <w:pPr>
        <w:pStyle w:val="Heading2"/>
      </w:pPr>
      <w:r w:rsidRPr="00526B42">
        <w:t>Data Synthesis and Theoretical Framework</w:t>
      </w:r>
    </w:p>
    <w:p w14:paraId="6790F7C2" w14:textId="087B1C47" w:rsidR="005938AC" w:rsidRDefault="005938AC" w:rsidP="005938AC">
      <w:pPr>
        <w:rPr>
          <w:rFonts w:cs="Arial"/>
        </w:rPr>
      </w:pPr>
      <w:r w:rsidRPr="00526B42">
        <w:rPr>
          <w:rFonts w:cs="Arial"/>
        </w:rPr>
        <w:t xml:space="preserve">Data synthesis assembled the collective findings into a set of meaning statements which represented and explained the phenomena under study (Munn et al., 2014). To address our research question, our goal was to create a set of statements or </w:t>
      </w:r>
      <w:r w:rsidR="003710DC" w:rsidRPr="00526B42">
        <w:rPr>
          <w:rFonts w:cs="Arial"/>
        </w:rPr>
        <w:t>‘P</w:t>
      </w:r>
      <w:r w:rsidRPr="00526B42">
        <w:rPr>
          <w:rFonts w:cs="Arial"/>
        </w:rPr>
        <w:t>rinciples</w:t>
      </w:r>
      <w:r w:rsidR="003710DC" w:rsidRPr="00526B42">
        <w:rPr>
          <w:rFonts w:cs="Arial"/>
        </w:rPr>
        <w:t>’</w:t>
      </w:r>
      <w:r w:rsidRPr="00526B42">
        <w:rPr>
          <w:rFonts w:cs="Arial"/>
        </w:rPr>
        <w:t xml:space="preserve"> that focused on the main strategies employed to foster inclusion in informed consent procedures involving priority populations. We used a meta-aggregation approach that informed each stage of the synthesis process (Lockwood et al., 2015) [</w:t>
      </w:r>
      <w:r w:rsidRPr="00526B42">
        <w:rPr>
          <w:rFonts w:cs="Arial"/>
          <w:b/>
          <w:bCs/>
        </w:rPr>
        <w:t>Figure 1</w:t>
      </w:r>
      <w:r w:rsidRPr="00526B42">
        <w:rPr>
          <w:rFonts w:cs="Arial"/>
        </w:rPr>
        <w:t>]. One of the key elements of a meta-aggregation approach is integrating and interpreting data as intended by the original authors. As stated by Lockwood et al 2015, “the essential characteristics of a meta-aggregative review are that the reviewer avoids re-interpretation of includes studies, but instead accurately and reliably presents the findings of the included studies as intended by the original authors”</w:t>
      </w:r>
      <w:r w:rsidR="00B97EDC" w:rsidRPr="00526B42">
        <w:rPr>
          <w:rFonts w:cs="Arial"/>
        </w:rPr>
        <w:t xml:space="preserve"> </w:t>
      </w:r>
      <w:r w:rsidRPr="00526B42">
        <w:rPr>
          <w:rFonts w:cs="Arial"/>
        </w:rPr>
        <w:t>(pg.179) (Lockwood et al., 2015). To support this process, content and text were preserved as much as possible in the data extraction phase to ensure that it supported content analysis in the synthesis stage.</w:t>
      </w:r>
    </w:p>
    <w:p w14:paraId="34EECECC" w14:textId="77777777" w:rsidR="00FF7DA1" w:rsidRPr="00526B42" w:rsidRDefault="00FF7DA1" w:rsidP="00FF7DA1">
      <w:pPr>
        <w:rPr>
          <w:rFonts w:cs="Arial"/>
          <w:b/>
          <w:bCs/>
        </w:rPr>
      </w:pPr>
      <w:r w:rsidRPr="00526B42">
        <w:rPr>
          <w:rFonts w:cs="Arial"/>
          <w:b/>
          <w:bCs/>
        </w:rPr>
        <w:t>Figure 1. Meta-aggregation steps undertaken to derive review findings</w:t>
      </w:r>
    </w:p>
    <w:p w14:paraId="488037E8" w14:textId="77777777" w:rsidR="00FF7DA1" w:rsidRPr="00526B42" w:rsidRDefault="00FF7DA1" w:rsidP="00FF7DA1">
      <w:pPr>
        <w:rPr>
          <w:rFonts w:ascii="Aptos" w:hAnsi="Aptos"/>
          <w:sz w:val="24"/>
        </w:rPr>
      </w:pPr>
      <w:r w:rsidRPr="00E129F6">
        <w:rPr>
          <w:noProof/>
        </w:rPr>
        <w:drawing>
          <wp:inline distT="0" distB="0" distL="0" distR="0" wp14:anchorId="2DAA4E52" wp14:editId="798B623F">
            <wp:extent cx="5943600" cy="4670425"/>
            <wp:effectExtent l="0" t="0" r="0" b="0"/>
            <wp:docPr id="2028414191" name="Picture 1" descr="A diagram of a research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414191" name="Picture 1" descr="A diagram of a research proces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670425"/>
                    </a:xfrm>
                    <a:prstGeom prst="rect">
                      <a:avLst/>
                    </a:prstGeom>
                  </pic:spPr>
                </pic:pic>
              </a:graphicData>
            </a:graphic>
          </wp:inline>
        </w:drawing>
      </w:r>
    </w:p>
    <w:p w14:paraId="20F36823" w14:textId="73A3644C" w:rsidR="00FF7DA1" w:rsidRPr="00FF7DA1" w:rsidRDefault="00FF7DA1" w:rsidP="005938AC">
      <w:pPr>
        <w:rPr>
          <w:rFonts w:ascii="Aptos" w:hAnsi="Aptos"/>
          <w:sz w:val="24"/>
        </w:rPr>
      </w:pPr>
      <w:r w:rsidRPr="00061A04">
        <w:rPr>
          <w:rFonts w:ascii="Aptos" w:hAnsi="Aptos"/>
          <w:sz w:val="24"/>
        </w:rPr>
        <w:t xml:space="preserve">Footnote: </w:t>
      </w:r>
      <w:r w:rsidRPr="00526B42">
        <w:rPr>
          <w:rFonts w:ascii="Aptos" w:hAnsi="Aptos"/>
          <w:sz w:val="24"/>
        </w:rPr>
        <w:t xml:space="preserve">QualSyst, Standard Quality Assessment Criteria for Evaluating Primary Research Papers; CFIR, Consolidated Framework for Implementation Research; GRADE </w:t>
      </w:r>
      <w:proofErr w:type="gramStart"/>
      <w:r w:rsidRPr="00526B42">
        <w:rPr>
          <w:rFonts w:ascii="Aptos" w:hAnsi="Aptos"/>
          <w:sz w:val="24"/>
        </w:rPr>
        <w:t>CERQual,  Grading</w:t>
      </w:r>
      <w:proofErr w:type="gramEnd"/>
      <w:r w:rsidRPr="00526B42">
        <w:rPr>
          <w:rFonts w:ascii="Aptos" w:hAnsi="Aptos"/>
          <w:sz w:val="24"/>
        </w:rPr>
        <w:t xml:space="preserve"> of Recommendations, Assessment, Development and Evaluation – Confidence in the Evidence from Reviews of Qualitative research; ERIC, Expert Recommendations for Implementing Change.</w:t>
      </w:r>
    </w:p>
    <w:p w14:paraId="3F7DAECF" w14:textId="3C0120DF" w:rsidR="005938AC" w:rsidRPr="00526B42" w:rsidRDefault="005938AC" w:rsidP="005938AC">
      <w:pPr>
        <w:rPr>
          <w:rFonts w:cs="Arial"/>
        </w:rPr>
      </w:pPr>
      <w:r w:rsidRPr="00526B42">
        <w:rPr>
          <w:rFonts w:cs="Arial"/>
        </w:rPr>
        <w:t xml:space="preserve">A key part of the synthesis process involved following a Framework Analysis approach to coding (Brunton et al., 2020) and the </w:t>
      </w:r>
      <w:r w:rsidRPr="00033005">
        <w:rPr>
          <w:rFonts w:cs="Arial"/>
          <w:b/>
          <w:bCs/>
        </w:rPr>
        <w:t xml:space="preserve">Consolidated Framework for Implementation Research (CFIR) 2.0 </w:t>
      </w:r>
      <w:r w:rsidRPr="00526B42">
        <w:rPr>
          <w:rFonts w:cs="Arial"/>
        </w:rPr>
        <w:t xml:space="preserve">was selected a priori for structure (Damschroder et al., 2022). The CFIR 2.0 is an Implementation Science Framework that has five core domains: the inner organizational context, the individuals in the system, the evidence-based strategies implemented across the system and the process to implement the strategies (Damschroder et al., 2022). Individual data were coded to these domains, and this stage was facilitated by </w:t>
      </w:r>
      <w:proofErr w:type="spellStart"/>
      <w:r w:rsidRPr="00526B42">
        <w:rPr>
          <w:rFonts w:cs="Arial"/>
        </w:rPr>
        <w:t>Nvivo</w:t>
      </w:r>
      <w:proofErr w:type="spellEnd"/>
      <w:r w:rsidRPr="00526B42">
        <w:rPr>
          <w:rFonts w:cs="Arial"/>
        </w:rPr>
        <w:t xml:space="preserve"> [QSR International Ptd Ltd, Melbourne]. </w:t>
      </w:r>
      <w:r w:rsidR="003F6E9B" w:rsidRPr="00526B42">
        <w:rPr>
          <w:rFonts w:cs="Arial"/>
        </w:rPr>
        <w:t>We then created a logic model to visually represent the data</w:t>
      </w:r>
      <w:r w:rsidR="00174527" w:rsidRPr="00526B42">
        <w:rPr>
          <w:rFonts w:cs="Arial"/>
        </w:rPr>
        <w:t xml:space="preserve"> and</w:t>
      </w:r>
      <w:r w:rsidRPr="00526B42">
        <w:rPr>
          <w:rFonts w:cs="Arial"/>
        </w:rPr>
        <w:t xml:space="preserve"> help identify commonalities, differences and patterns across studies</w:t>
      </w:r>
      <w:r w:rsidR="00174527" w:rsidRPr="00526B42">
        <w:rPr>
          <w:rFonts w:cs="Arial"/>
        </w:rPr>
        <w:t>.</w:t>
      </w:r>
      <w:r w:rsidRPr="00526B42">
        <w:rPr>
          <w:rFonts w:cs="Arial"/>
        </w:rPr>
        <w:t xml:space="preserve"> </w:t>
      </w:r>
      <w:r w:rsidR="00174527" w:rsidRPr="00526B42">
        <w:rPr>
          <w:rFonts w:cs="Arial"/>
        </w:rPr>
        <w:t>At this point</w:t>
      </w:r>
      <w:r w:rsidRPr="00526B42">
        <w:rPr>
          <w:rFonts w:cs="Arial"/>
        </w:rPr>
        <w:t xml:space="preserve">, </w:t>
      </w:r>
      <w:r w:rsidR="009C25FF" w:rsidRPr="00526B42">
        <w:rPr>
          <w:rFonts w:cs="Arial"/>
        </w:rPr>
        <w:t>data were</w:t>
      </w:r>
      <w:r w:rsidRPr="00526B42">
        <w:rPr>
          <w:rFonts w:cs="Arial"/>
        </w:rPr>
        <w:t xml:space="preserve"> arranged in a sequence to appreciate the temporal relationships across determinants, implementation strategies, mechanisms and intended outcomes (Smith et al., 2020) [See</w:t>
      </w:r>
      <w:r w:rsidR="00DE1A13" w:rsidRPr="00526B42">
        <w:rPr>
          <w:rFonts w:cs="Arial"/>
        </w:rPr>
        <w:t xml:space="preserve"> </w:t>
      </w:r>
      <w:r w:rsidRPr="00526B42">
        <w:rPr>
          <w:rFonts w:cs="Arial"/>
          <w:b/>
          <w:bCs/>
        </w:rPr>
        <w:t>Supplementary Data Figure</w:t>
      </w:r>
      <w:r w:rsidRPr="00526B42">
        <w:rPr>
          <w:rFonts w:cs="Arial"/>
        </w:rPr>
        <w:t>].</w:t>
      </w:r>
      <w:r w:rsidR="00710B7F">
        <w:rPr>
          <w:rFonts w:cs="Arial"/>
        </w:rPr>
        <w:t xml:space="preserve"> </w:t>
      </w:r>
      <w:r w:rsidR="00710B7F" w:rsidRPr="00710B7F">
        <w:rPr>
          <w:rFonts w:cs="Arial"/>
        </w:rPr>
        <w:t>Outcomes were labelled as predicted, as they represent expected effects of implementation strategies and mechanisms based on synthesis of findings across studies, rather than outcomes directly measured in individual studies.</w:t>
      </w:r>
    </w:p>
    <w:p w14:paraId="3BEB1C76" w14:textId="2FA10227" w:rsidR="005938AC" w:rsidRPr="00526B42" w:rsidRDefault="005938AC" w:rsidP="005938AC">
      <w:pPr>
        <w:rPr>
          <w:rFonts w:cs="Arial"/>
        </w:rPr>
      </w:pPr>
      <w:r w:rsidRPr="00526B42">
        <w:rPr>
          <w:rFonts w:cs="Arial"/>
        </w:rPr>
        <w:t>Based on the categorized data, two authors [</w:t>
      </w:r>
      <w:r w:rsidR="00FF7DA1">
        <w:rPr>
          <w:rFonts w:cs="Arial"/>
        </w:rPr>
        <w:t>FOH, DF</w:t>
      </w:r>
      <w:r w:rsidRPr="00526B42">
        <w:rPr>
          <w:rFonts w:cs="Arial"/>
        </w:rPr>
        <w:t xml:space="preserve">] independently considered the common concepts and generalizable principles. An estimate of effect size was gained by the number of studies contributing to each </w:t>
      </w:r>
      <w:r w:rsidR="003710DC" w:rsidRPr="00526B42">
        <w:rPr>
          <w:rFonts w:cs="Arial"/>
        </w:rPr>
        <w:t>P</w:t>
      </w:r>
      <w:r w:rsidRPr="00526B42">
        <w:rPr>
          <w:rFonts w:cs="Arial"/>
        </w:rPr>
        <w:t xml:space="preserve">rinciple. Additionally, the process of aggregation involved considering the confidence placed in each </w:t>
      </w:r>
      <w:r w:rsidR="001133B7" w:rsidRPr="00526B42">
        <w:rPr>
          <w:rFonts w:cs="Arial"/>
        </w:rPr>
        <w:t>P</w:t>
      </w:r>
      <w:r w:rsidRPr="00526B42">
        <w:rPr>
          <w:rFonts w:cs="Arial"/>
        </w:rPr>
        <w:t xml:space="preserve">rinciple based on the </w:t>
      </w:r>
      <w:r w:rsidR="00263AB7" w:rsidRPr="00526B42">
        <w:rPr>
          <w:rFonts w:cs="Arial"/>
        </w:rPr>
        <w:t>reporting</w:t>
      </w:r>
      <w:r w:rsidRPr="00526B42">
        <w:rPr>
          <w:rFonts w:cs="Arial"/>
        </w:rPr>
        <w:t xml:space="preserve"> strengths and limitations of each of the underlying studies (e.g., QualSyst ratings). At this point, all authors met to collaboratively review the synthesis process and review the proposed </w:t>
      </w:r>
      <w:r w:rsidR="00781B56" w:rsidRPr="00526B42">
        <w:rPr>
          <w:rFonts w:cs="Arial"/>
        </w:rPr>
        <w:t>P</w:t>
      </w:r>
      <w:r w:rsidRPr="00526B42">
        <w:rPr>
          <w:rFonts w:cs="Arial"/>
        </w:rPr>
        <w:t xml:space="preserve">rinciples. </w:t>
      </w:r>
      <w:r w:rsidR="00263AB7" w:rsidRPr="00526B42">
        <w:rPr>
          <w:rFonts w:cs="Arial"/>
        </w:rPr>
        <w:t>Eight key Principles were derived</w:t>
      </w:r>
      <w:r w:rsidR="00781B56" w:rsidRPr="00526B42">
        <w:rPr>
          <w:rFonts w:cs="Arial"/>
        </w:rPr>
        <w:t xml:space="preserve"> from our meta-aggregation process</w:t>
      </w:r>
      <w:r w:rsidR="00263AB7" w:rsidRPr="00526B42">
        <w:rPr>
          <w:rFonts w:cs="Arial"/>
        </w:rPr>
        <w:t xml:space="preserve">, </w:t>
      </w:r>
      <w:r w:rsidR="00B23A85" w:rsidRPr="00526B42">
        <w:rPr>
          <w:rFonts w:cs="Arial"/>
        </w:rPr>
        <w:t xml:space="preserve">with </w:t>
      </w:r>
      <w:r w:rsidR="003C56F0" w:rsidRPr="00526B42">
        <w:rPr>
          <w:rFonts w:cs="Arial"/>
        </w:rPr>
        <w:t>structure confirmed using</w:t>
      </w:r>
      <w:r w:rsidRPr="00526B42">
        <w:rPr>
          <w:rFonts w:cs="Arial"/>
        </w:rPr>
        <w:t xml:space="preserve"> consensus building methodology</w:t>
      </w:r>
      <w:r w:rsidR="00263AB7" w:rsidRPr="00526B42">
        <w:rPr>
          <w:rFonts w:cs="Arial"/>
        </w:rPr>
        <w:t xml:space="preserve"> </w:t>
      </w:r>
      <w:r w:rsidRPr="00526B42">
        <w:rPr>
          <w:rFonts w:cs="Arial"/>
        </w:rPr>
        <w:t xml:space="preserve">(Black et al., 1999). </w:t>
      </w:r>
      <w:r w:rsidR="00DB6E6E" w:rsidRPr="00526B42">
        <w:rPr>
          <w:rFonts w:cs="Arial"/>
        </w:rPr>
        <w:t xml:space="preserve">At this point, </w:t>
      </w:r>
      <w:r w:rsidR="001127C9" w:rsidRPr="00526B42">
        <w:rPr>
          <w:rFonts w:cs="Arial"/>
        </w:rPr>
        <w:t xml:space="preserve">the </w:t>
      </w:r>
      <w:proofErr w:type="gramStart"/>
      <w:r w:rsidR="001127C9" w:rsidRPr="00526B42">
        <w:rPr>
          <w:rFonts w:cs="Arial"/>
        </w:rPr>
        <w:t>Principles</w:t>
      </w:r>
      <w:proofErr w:type="gramEnd"/>
      <w:r w:rsidR="001127C9" w:rsidRPr="00526B42">
        <w:rPr>
          <w:rFonts w:cs="Arial"/>
        </w:rPr>
        <w:t xml:space="preserve"> were checked </w:t>
      </w:r>
      <w:r w:rsidR="00DB6E6E" w:rsidRPr="00526B42">
        <w:rPr>
          <w:rFonts w:cs="Arial"/>
        </w:rPr>
        <w:t xml:space="preserve">with </w:t>
      </w:r>
      <w:r w:rsidR="001127C9" w:rsidRPr="00526B42">
        <w:rPr>
          <w:rFonts w:cs="Arial"/>
        </w:rPr>
        <w:t xml:space="preserve">alignment </w:t>
      </w:r>
      <w:r w:rsidR="00837A72" w:rsidRPr="00526B42">
        <w:rPr>
          <w:rFonts w:cs="Arial"/>
        </w:rPr>
        <w:t>to</w:t>
      </w:r>
      <w:r w:rsidR="001127C9" w:rsidRPr="00526B42">
        <w:rPr>
          <w:rFonts w:cs="Arial"/>
        </w:rPr>
        <w:t xml:space="preserve"> </w:t>
      </w:r>
      <w:r w:rsidR="00DB6E6E" w:rsidRPr="00526B42">
        <w:rPr>
          <w:rFonts w:cs="Arial"/>
        </w:rPr>
        <w:t>ICH-GCP</w:t>
      </w:r>
      <w:r w:rsidR="00837A72" w:rsidRPr="00526B42">
        <w:rPr>
          <w:rFonts w:cs="Arial"/>
        </w:rPr>
        <w:t xml:space="preserve"> and</w:t>
      </w:r>
      <w:r w:rsidRPr="00526B42">
        <w:rPr>
          <w:rFonts w:cs="Arial"/>
        </w:rPr>
        <w:t xml:space="preserve"> then formally assessed for confidence [see assessment of confidence in review findings section]. </w:t>
      </w:r>
    </w:p>
    <w:p w14:paraId="45AF9FBA" w14:textId="77777777" w:rsidR="005938AC" w:rsidRPr="00526B42" w:rsidRDefault="005938AC" w:rsidP="000643A5">
      <w:pPr>
        <w:pStyle w:val="Heading2"/>
      </w:pPr>
      <w:r w:rsidRPr="00526B42">
        <w:t>Assessment of confidence in review findings</w:t>
      </w:r>
    </w:p>
    <w:p w14:paraId="7D8F79A2" w14:textId="0D3B25D5" w:rsidR="005938AC" w:rsidRPr="00526B42" w:rsidRDefault="005938AC" w:rsidP="005938AC">
      <w:pPr>
        <w:rPr>
          <w:rFonts w:cs="Arial"/>
        </w:rPr>
      </w:pPr>
      <w:r w:rsidRPr="00526B42">
        <w:rPr>
          <w:rFonts w:cs="Arial"/>
        </w:rPr>
        <w:t>Two authors [</w:t>
      </w:r>
      <w:r w:rsidR="00795E3A">
        <w:rPr>
          <w:rFonts w:cs="Arial"/>
        </w:rPr>
        <w:t>FOH, DF</w:t>
      </w:r>
      <w:r w:rsidRPr="00526B42">
        <w:rPr>
          <w:rFonts w:cs="Arial"/>
        </w:rPr>
        <w:t xml:space="preserve">] assessed each review finding using the </w:t>
      </w:r>
      <w:r w:rsidR="00674466" w:rsidRPr="00033005">
        <w:rPr>
          <w:rFonts w:cs="Arial"/>
          <w:b/>
          <w:bCs/>
        </w:rPr>
        <w:t xml:space="preserve">Grading of Recommendations, Assessment, Development and Evaluation - </w:t>
      </w:r>
      <w:r w:rsidRPr="00033005">
        <w:rPr>
          <w:rFonts w:cs="Arial"/>
          <w:b/>
          <w:bCs/>
        </w:rPr>
        <w:t>Confidence in the Evidence from Reviews of Qualitative Research method [GRADE-CERQual approach]</w:t>
      </w:r>
      <w:r w:rsidRPr="00526B42">
        <w:rPr>
          <w:rFonts w:cs="Arial"/>
        </w:rPr>
        <w:t xml:space="preserve"> (Lewin</w:t>
      </w:r>
      <w:r w:rsidR="00FB6A4A" w:rsidRPr="00526B42">
        <w:rPr>
          <w:rFonts w:cs="Arial"/>
        </w:rPr>
        <w:t xml:space="preserve"> </w:t>
      </w:r>
      <w:r w:rsidRPr="00526B42">
        <w:rPr>
          <w:rFonts w:cs="Arial"/>
        </w:rPr>
        <w:t xml:space="preserve">et al., 2018). This method was selected as </w:t>
      </w:r>
      <w:proofErr w:type="gramStart"/>
      <w:r w:rsidRPr="00526B42">
        <w:rPr>
          <w:rFonts w:cs="Arial"/>
        </w:rPr>
        <w:t>the majority of</w:t>
      </w:r>
      <w:proofErr w:type="gramEnd"/>
      <w:r w:rsidRPr="00526B42">
        <w:rPr>
          <w:rFonts w:cs="Arial"/>
        </w:rPr>
        <w:t xml:space="preserve"> articles were qualitative research designs and collected purely qualitative data or mixed-methods data, the latter from open and closed survey items. CERQual assessment grades four main areas: methodological limitations, coherence, data adequacy and relevance. Confidence in each finding was rated as high, moderate, or low confidence.</w:t>
      </w:r>
    </w:p>
    <w:p w14:paraId="054B6CE8" w14:textId="77777777" w:rsidR="00800BDC" w:rsidRPr="00526B42" w:rsidRDefault="005938AC" w:rsidP="00721D8E">
      <w:r w:rsidRPr="00526B42">
        <w:rPr>
          <w:rFonts w:cs="Arial"/>
        </w:rPr>
        <w:t xml:space="preserve">Methodological limitations </w:t>
      </w:r>
      <w:r w:rsidR="00B97EDC" w:rsidRPr="00526B42">
        <w:rPr>
          <w:rFonts w:cs="Arial"/>
        </w:rPr>
        <w:t>relate</w:t>
      </w:r>
      <w:r w:rsidRPr="00526B42">
        <w:rPr>
          <w:rFonts w:cs="Arial"/>
        </w:rPr>
        <w:t xml:space="preserve"> to the extent to which there were concerns about the design or conduct of the primary studies that contributed evidence to an individual review finding. Coherence is an assessment of how clear and cogent (i.e., compelling) the fit was between the original data and the review synthesis. Data adequacy relates to the degree of richness and quantity of data supporting a review finding. Relevance relates to the extent to which the body of evidence from the primary studies supporting a review finding is applicable to the context [perspective or population, phenomenon of interest, setting] specified in the review question.</w:t>
      </w:r>
      <w:r w:rsidR="003959CA" w:rsidRPr="00526B42">
        <w:t xml:space="preserve"> </w:t>
      </w:r>
    </w:p>
    <w:p w14:paraId="435E593F" w14:textId="3E921564" w:rsidR="008701F7" w:rsidRPr="00526B42" w:rsidRDefault="003959CA" w:rsidP="00721D8E">
      <w:pPr>
        <w:rPr>
          <w:rFonts w:cs="Arial"/>
        </w:rPr>
      </w:pPr>
      <w:r w:rsidRPr="00526B42">
        <w:rPr>
          <w:rFonts w:cs="Arial"/>
        </w:rPr>
        <w:t>Methodological limitations were informed by QualSyst ratings for contributing studies. The overall CERQual judgments were developed through discussion and consensus between the two authors.</w:t>
      </w:r>
    </w:p>
    <w:p w14:paraId="435E5940" w14:textId="77777777" w:rsidR="008701F7" w:rsidRPr="00526B42" w:rsidRDefault="00ED6592" w:rsidP="00721D8E">
      <w:pPr>
        <w:pStyle w:val="Heading1"/>
        <w:spacing w:after="240"/>
      </w:pPr>
      <w:r w:rsidRPr="00526B42">
        <w:t xml:space="preserve">Results </w:t>
      </w:r>
    </w:p>
    <w:p w14:paraId="7238CBFE" w14:textId="77777777" w:rsidR="0012231C" w:rsidRPr="00526B42" w:rsidRDefault="0012231C" w:rsidP="00BD3FAF">
      <w:pPr>
        <w:pStyle w:val="Heading2"/>
      </w:pPr>
      <w:r w:rsidRPr="00526B42">
        <w:t>Search results and study characteristics</w:t>
      </w:r>
    </w:p>
    <w:p w14:paraId="07F6B99A" w14:textId="5ABEF0FB" w:rsidR="0012231C" w:rsidRPr="00526B42" w:rsidRDefault="0012231C" w:rsidP="0012231C">
      <w:pPr>
        <w:rPr>
          <w:rFonts w:cs="Arial"/>
        </w:rPr>
      </w:pPr>
      <w:r w:rsidRPr="00526B42">
        <w:rPr>
          <w:rFonts w:cs="Arial"/>
        </w:rPr>
        <w:t xml:space="preserve">A total of 12,121 articles were identified with 5170 duplicates removed [1489 articles identified from the re-run]. A total of 6951 were screened and 142 assessed for eligibility. From these,19 articles met the criteria for inclusion [see </w:t>
      </w:r>
      <w:r w:rsidRPr="00526B42">
        <w:rPr>
          <w:rFonts w:cs="Arial"/>
          <w:b/>
          <w:bCs/>
        </w:rPr>
        <w:t>Figure 2</w:t>
      </w:r>
      <w:r w:rsidRPr="00526B42">
        <w:rPr>
          <w:rFonts w:cs="Arial"/>
        </w:rPr>
        <w:t>]. The main reasons articles were excluded were that they were reviews and therefore were not empirical studies (31%</w:t>
      </w:r>
      <w:r w:rsidR="0037077E" w:rsidRPr="00526B42">
        <w:rPr>
          <w:rFonts w:cs="Arial"/>
        </w:rPr>
        <w:t>,</w:t>
      </w:r>
      <w:r w:rsidR="009E7E5A" w:rsidRPr="00526B42">
        <w:rPr>
          <w:rFonts w:cs="Arial"/>
        </w:rPr>
        <w:t xml:space="preserve"> ‘</w:t>
      </w:r>
      <w:r w:rsidR="0037077E" w:rsidRPr="00526B42">
        <w:rPr>
          <w:rFonts w:cs="Arial"/>
        </w:rPr>
        <w:t>no primary data’</w:t>
      </w:r>
      <w:r w:rsidRPr="00526B42">
        <w:rPr>
          <w:rFonts w:cs="Arial"/>
        </w:rPr>
        <w:t>) or that the study did not have accessible research participation or informed consent practices as a major finding or focus (31%</w:t>
      </w:r>
      <w:r w:rsidR="0037077E" w:rsidRPr="00526B42">
        <w:rPr>
          <w:rFonts w:cs="Arial"/>
        </w:rPr>
        <w:t>, ‘</w:t>
      </w:r>
      <w:r w:rsidR="00537E5D" w:rsidRPr="00526B42">
        <w:rPr>
          <w:rFonts w:cs="Arial"/>
        </w:rPr>
        <w:t xml:space="preserve">wrong </w:t>
      </w:r>
      <w:r w:rsidR="002B1A9E" w:rsidRPr="00526B42">
        <w:rPr>
          <w:rFonts w:cs="Arial"/>
        </w:rPr>
        <w:t>approach</w:t>
      </w:r>
      <w:r w:rsidR="00537E5D" w:rsidRPr="00526B42">
        <w:rPr>
          <w:rFonts w:cs="Arial"/>
        </w:rPr>
        <w:t>’</w:t>
      </w:r>
      <w:r w:rsidRPr="00526B42">
        <w:rPr>
          <w:rFonts w:cs="Arial"/>
        </w:rPr>
        <w:t>).</w:t>
      </w:r>
    </w:p>
    <w:p w14:paraId="3107FCDB" w14:textId="23542028" w:rsidR="00AF6ED0" w:rsidRDefault="0012231C" w:rsidP="0012231C">
      <w:pPr>
        <w:rPr>
          <w:rFonts w:cs="Arial"/>
        </w:rPr>
      </w:pPr>
      <w:r w:rsidRPr="00526B42">
        <w:rPr>
          <w:rFonts w:cs="Arial"/>
        </w:rPr>
        <w:t xml:space="preserve">The year of publication of included studies ranged from 2002 to 2025. Of the 19 included articles, </w:t>
      </w:r>
      <w:r w:rsidR="00277B0F">
        <w:rPr>
          <w:rFonts w:cs="Arial"/>
        </w:rPr>
        <w:t>9</w:t>
      </w:r>
      <w:r w:rsidRPr="00526B42">
        <w:rPr>
          <w:rFonts w:cs="Arial"/>
        </w:rPr>
        <w:t xml:space="preserve"> were conducted in USA, followed by 3 each from the United Kingdom and Australia. </w:t>
      </w:r>
      <w:r w:rsidR="00E443EB">
        <w:rPr>
          <w:rFonts w:cs="Arial"/>
        </w:rPr>
        <w:t>Two studies</w:t>
      </w:r>
      <w:r w:rsidRPr="00526B42">
        <w:rPr>
          <w:rFonts w:cs="Arial"/>
        </w:rPr>
        <w:t xml:space="preserve"> were conducted in Canada, </w:t>
      </w:r>
      <w:r w:rsidR="00E443EB">
        <w:rPr>
          <w:rFonts w:cs="Arial"/>
        </w:rPr>
        <w:t xml:space="preserve">and </w:t>
      </w:r>
      <w:r w:rsidR="00277B0F">
        <w:rPr>
          <w:rFonts w:cs="Arial"/>
        </w:rPr>
        <w:t>1</w:t>
      </w:r>
      <w:r w:rsidR="00BD4C58">
        <w:rPr>
          <w:rFonts w:cs="Arial"/>
        </w:rPr>
        <w:t xml:space="preserve"> each</w:t>
      </w:r>
      <w:r w:rsidR="00E443EB">
        <w:rPr>
          <w:rFonts w:cs="Arial"/>
        </w:rPr>
        <w:t xml:space="preserve"> in </w:t>
      </w:r>
      <w:r w:rsidRPr="00526B42">
        <w:rPr>
          <w:rFonts w:cs="Arial"/>
        </w:rPr>
        <w:t xml:space="preserve">India and Germany. </w:t>
      </w:r>
      <w:r w:rsidR="00EB2EB2" w:rsidRPr="00EB2EB2">
        <w:rPr>
          <w:rFonts w:cs="Arial"/>
        </w:rPr>
        <w:t>No clear patterns were observed across countries</w:t>
      </w:r>
      <w:r w:rsidR="000D0028">
        <w:rPr>
          <w:rFonts w:cs="Arial"/>
        </w:rPr>
        <w:t>.</w:t>
      </w:r>
      <w:r w:rsidR="00513FF9">
        <w:rPr>
          <w:rFonts w:cs="Arial"/>
        </w:rPr>
        <w:t xml:space="preserve"> </w:t>
      </w:r>
      <w:r w:rsidR="00E520C8">
        <w:rPr>
          <w:rFonts w:cs="Arial"/>
        </w:rPr>
        <w:t xml:space="preserve">Although </w:t>
      </w:r>
      <w:r w:rsidR="00513FF9">
        <w:rPr>
          <w:rFonts w:cs="Arial"/>
        </w:rPr>
        <w:t>m</w:t>
      </w:r>
      <w:r w:rsidR="00EB2EB2" w:rsidRPr="00EB2EB2">
        <w:rPr>
          <w:rFonts w:cs="Arial"/>
        </w:rPr>
        <w:t>ost studies were conducted in high-income settings</w:t>
      </w:r>
      <w:r w:rsidR="00C91101">
        <w:rPr>
          <w:rFonts w:cs="Arial"/>
        </w:rPr>
        <w:t xml:space="preserve">, </w:t>
      </w:r>
      <w:r w:rsidR="00EB2EB2" w:rsidRPr="00EB2EB2">
        <w:rPr>
          <w:rFonts w:cs="Arial"/>
        </w:rPr>
        <w:t>no consistent differences were identified in accessibility strategies or informed consent practices across geographic contexts.</w:t>
      </w:r>
    </w:p>
    <w:p w14:paraId="7FA89BAA" w14:textId="77777777" w:rsidR="006D3500" w:rsidRPr="00526B42" w:rsidRDefault="006D3500" w:rsidP="006D3500">
      <w:pPr>
        <w:rPr>
          <w:rFonts w:cs="Arial"/>
          <w:b/>
          <w:bCs/>
          <w:szCs w:val="28"/>
        </w:rPr>
      </w:pPr>
      <w:r w:rsidRPr="00E129F6">
        <w:rPr>
          <w:rFonts w:cs="Arial"/>
          <w:b/>
          <w:bCs/>
          <w:noProof/>
          <w:szCs w:val="28"/>
        </w:rPr>
        <w:drawing>
          <wp:anchor distT="0" distB="0" distL="114300" distR="114300" simplePos="0" relativeHeight="251662336" behindDoc="0" locked="0" layoutInCell="1" allowOverlap="1" wp14:anchorId="379D0AAF" wp14:editId="1EAFB710">
            <wp:simplePos x="0" y="0"/>
            <wp:positionH relativeFrom="column">
              <wp:posOffset>-585470</wp:posOffset>
            </wp:positionH>
            <wp:positionV relativeFrom="paragraph">
              <wp:posOffset>421005</wp:posOffset>
            </wp:positionV>
            <wp:extent cx="7310437" cy="4112121"/>
            <wp:effectExtent l="0" t="0" r="5080" b="3175"/>
            <wp:wrapNone/>
            <wp:docPr id="12409055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10437" cy="4112121"/>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6B42">
        <w:rPr>
          <w:rFonts w:cs="Arial"/>
          <w:b/>
          <w:bCs/>
          <w:szCs w:val="28"/>
        </w:rPr>
        <w:t>Figure 2. PRISMA flowchart of the systematic review</w:t>
      </w:r>
    </w:p>
    <w:p w14:paraId="0268BDBA" w14:textId="77777777" w:rsidR="006D3500" w:rsidRPr="00526B42" w:rsidRDefault="006D3500" w:rsidP="006D3500"/>
    <w:p w14:paraId="07432A84" w14:textId="77777777" w:rsidR="006D3500" w:rsidRPr="00526B42" w:rsidRDefault="006D3500" w:rsidP="006D3500"/>
    <w:p w14:paraId="36C2C84C" w14:textId="77777777" w:rsidR="006D3500" w:rsidRPr="00526B42" w:rsidRDefault="006D3500" w:rsidP="006D3500"/>
    <w:p w14:paraId="698ADADF" w14:textId="77777777" w:rsidR="006D3500" w:rsidRPr="00526B42" w:rsidRDefault="006D3500" w:rsidP="006D3500"/>
    <w:p w14:paraId="0EFB94AD" w14:textId="77777777" w:rsidR="006D3500" w:rsidRPr="00526B42" w:rsidRDefault="006D3500" w:rsidP="006D3500"/>
    <w:p w14:paraId="64836765" w14:textId="77777777" w:rsidR="006D3500" w:rsidRPr="00526B42" w:rsidRDefault="006D3500" w:rsidP="006D3500"/>
    <w:p w14:paraId="20227086" w14:textId="77777777" w:rsidR="006D3500" w:rsidRPr="00526B42" w:rsidRDefault="006D3500" w:rsidP="006D3500"/>
    <w:p w14:paraId="64438E8F" w14:textId="77777777" w:rsidR="006D3500" w:rsidRPr="00526B42" w:rsidRDefault="006D3500" w:rsidP="006D3500">
      <w:pPr>
        <w:spacing w:before="0" w:after="0" w:line="240" w:lineRule="auto"/>
      </w:pPr>
    </w:p>
    <w:p w14:paraId="0EC0E18A" w14:textId="77777777" w:rsidR="006D3500" w:rsidRPr="00526B42" w:rsidRDefault="006D3500" w:rsidP="006D3500">
      <w:pPr>
        <w:spacing w:before="0" w:after="0" w:line="240" w:lineRule="auto"/>
      </w:pPr>
    </w:p>
    <w:p w14:paraId="18991997" w14:textId="77777777" w:rsidR="006D3500" w:rsidRPr="00526B42" w:rsidRDefault="006D3500" w:rsidP="006D3500">
      <w:pPr>
        <w:spacing w:before="0" w:after="0" w:line="240" w:lineRule="auto"/>
      </w:pPr>
    </w:p>
    <w:p w14:paraId="44778102" w14:textId="77777777" w:rsidR="006D3500" w:rsidRPr="00061A04" w:rsidRDefault="006D3500" w:rsidP="006D3500">
      <w:pPr>
        <w:spacing w:before="0" w:after="0" w:line="240" w:lineRule="auto"/>
        <w:rPr>
          <w:rFonts w:ascii="Aptos" w:hAnsi="Aptos"/>
          <w:sz w:val="24"/>
        </w:rPr>
      </w:pPr>
    </w:p>
    <w:p w14:paraId="2EDF1EB6" w14:textId="77777777" w:rsidR="00B64E7B" w:rsidRDefault="00B64E7B" w:rsidP="0012231C">
      <w:pPr>
        <w:rPr>
          <w:rFonts w:cs="Arial"/>
        </w:rPr>
      </w:pPr>
    </w:p>
    <w:p w14:paraId="52550079" w14:textId="77777777" w:rsidR="00B64E7B" w:rsidRDefault="00B64E7B" w:rsidP="0012231C">
      <w:pPr>
        <w:rPr>
          <w:rFonts w:cs="Arial"/>
        </w:rPr>
      </w:pPr>
    </w:p>
    <w:p w14:paraId="33829D76" w14:textId="520664EB" w:rsidR="0012231C" w:rsidRDefault="0012231C" w:rsidP="0012231C">
      <w:pPr>
        <w:rPr>
          <w:rFonts w:cs="Arial"/>
        </w:rPr>
      </w:pPr>
      <w:r w:rsidRPr="00526B42">
        <w:rPr>
          <w:rFonts w:cs="Arial"/>
        </w:rPr>
        <w:t>There were a total of 1,223 participants (recipients) and 70 providers (deliverers of informed consent procedures) with a range between 4 to 237</w:t>
      </w:r>
      <w:r w:rsidR="008421F3" w:rsidRPr="00526B42">
        <w:rPr>
          <w:rFonts w:cs="Arial"/>
        </w:rPr>
        <w:t xml:space="preserve"> people</w:t>
      </w:r>
      <w:r w:rsidRPr="00526B42">
        <w:rPr>
          <w:rFonts w:cs="Arial"/>
        </w:rPr>
        <w:t xml:space="preserve">. Seven studies involved people </w:t>
      </w:r>
      <w:r w:rsidR="00374776" w:rsidRPr="00526B42">
        <w:rPr>
          <w:rFonts w:cs="Arial"/>
        </w:rPr>
        <w:t>from the Deaf community</w:t>
      </w:r>
      <w:r w:rsidRPr="00526B42">
        <w:rPr>
          <w:rFonts w:cs="Arial"/>
        </w:rPr>
        <w:t xml:space="preserve">, </w:t>
      </w:r>
      <w:r w:rsidR="00D47ECA" w:rsidRPr="00526B42">
        <w:rPr>
          <w:rFonts w:cs="Arial"/>
        </w:rPr>
        <w:t>7</w:t>
      </w:r>
      <w:r w:rsidRPr="00526B42">
        <w:rPr>
          <w:rFonts w:cs="Arial"/>
        </w:rPr>
        <w:t xml:space="preserve"> </w:t>
      </w:r>
      <w:r w:rsidR="003934E8" w:rsidRPr="00526B42">
        <w:rPr>
          <w:rFonts w:cs="Arial"/>
        </w:rPr>
        <w:t xml:space="preserve">studies </w:t>
      </w:r>
      <w:r w:rsidRPr="00526B42">
        <w:rPr>
          <w:rFonts w:cs="Arial"/>
        </w:rPr>
        <w:t xml:space="preserve">involved people </w:t>
      </w:r>
      <w:r w:rsidR="003934E8" w:rsidRPr="00526B42">
        <w:rPr>
          <w:rFonts w:cs="Arial"/>
        </w:rPr>
        <w:t xml:space="preserve">from the </w:t>
      </w:r>
      <w:r w:rsidR="00F44991">
        <w:rPr>
          <w:rFonts w:cs="Arial"/>
        </w:rPr>
        <w:t>low vision and blindness community</w:t>
      </w:r>
      <w:r w:rsidR="000767D4" w:rsidRPr="00526B42">
        <w:rPr>
          <w:rFonts w:cs="Arial"/>
        </w:rPr>
        <w:t>,</w:t>
      </w:r>
      <w:r w:rsidRPr="00526B42">
        <w:rPr>
          <w:rFonts w:cs="Arial"/>
        </w:rPr>
        <w:t xml:space="preserve"> and </w:t>
      </w:r>
      <w:r w:rsidR="00D47ECA" w:rsidRPr="00526B42">
        <w:rPr>
          <w:rFonts w:cs="Arial"/>
        </w:rPr>
        <w:t xml:space="preserve">5 </w:t>
      </w:r>
      <w:r w:rsidRPr="00526B42">
        <w:rPr>
          <w:rFonts w:cs="Arial"/>
        </w:rPr>
        <w:t xml:space="preserve">studies involved people </w:t>
      </w:r>
      <w:r w:rsidR="005E546E" w:rsidRPr="00526B42">
        <w:rPr>
          <w:rFonts w:cs="Arial"/>
        </w:rPr>
        <w:t>from the Deafblind community</w:t>
      </w:r>
      <w:r w:rsidRPr="00526B42">
        <w:rPr>
          <w:rFonts w:cs="Arial"/>
        </w:rPr>
        <w:t xml:space="preserve"> [see </w:t>
      </w:r>
      <w:r w:rsidRPr="00526B42">
        <w:rPr>
          <w:rFonts w:cs="Arial"/>
          <w:b/>
          <w:bCs/>
        </w:rPr>
        <w:t>Table</w:t>
      </w:r>
      <w:r w:rsidR="006D4A3D">
        <w:rPr>
          <w:rFonts w:cs="Arial"/>
          <w:b/>
          <w:bCs/>
        </w:rPr>
        <w:t>s</w:t>
      </w:r>
      <w:r w:rsidRPr="00526B42">
        <w:rPr>
          <w:rFonts w:cs="Arial"/>
          <w:b/>
          <w:bCs/>
        </w:rPr>
        <w:t xml:space="preserve"> 1</w:t>
      </w:r>
      <w:r w:rsidRPr="00526B42">
        <w:rPr>
          <w:rFonts w:cs="Arial"/>
        </w:rPr>
        <w:t xml:space="preserve"> </w:t>
      </w:r>
      <w:r w:rsidR="006D4A3D" w:rsidRPr="006D4A3D">
        <w:rPr>
          <w:rFonts w:cs="Arial"/>
          <w:b/>
          <w:bCs/>
        </w:rPr>
        <w:t>and 2</w:t>
      </w:r>
      <w:r w:rsidR="006D4A3D">
        <w:rPr>
          <w:rFonts w:cs="Arial"/>
        </w:rPr>
        <w:t xml:space="preserve"> </w:t>
      </w:r>
      <w:r w:rsidRPr="00526B42">
        <w:rPr>
          <w:rFonts w:cs="Arial"/>
        </w:rPr>
        <w:t>for characteristics of included studies].</w:t>
      </w:r>
      <w:r w:rsidR="004F39A8" w:rsidRPr="00526B42">
        <w:rPr>
          <w:rFonts w:cs="Arial"/>
        </w:rPr>
        <w:t xml:space="preserve"> Terminology describing populations is reported as used in the original studies </w:t>
      </w:r>
      <w:r w:rsidR="00CC0FCE" w:rsidRPr="00526B42">
        <w:rPr>
          <w:rFonts w:cs="Arial"/>
        </w:rPr>
        <w:t xml:space="preserve">(for example, studies involved people described as </w:t>
      </w:r>
      <w:r w:rsidR="005B7524" w:rsidRPr="00526B42">
        <w:rPr>
          <w:rFonts w:cs="Arial"/>
        </w:rPr>
        <w:t>“</w:t>
      </w:r>
      <w:r w:rsidR="00CC0FCE" w:rsidRPr="00526B42">
        <w:rPr>
          <w:rFonts w:cs="Arial"/>
        </w:rPr>
        <w:t>hearing impaired</w:t>
      </w:r>
      <w:r w:rsidR="005B7524" w:rsidRPr="00526B42">
        <w:rPr>
          <w:rFonts w:cs="Arial"/>
        </w:rPr>
        <w:t>”</w:t>
      </w:r>
      <w:r w:rsidR="00730C93" w:rsidRPr="00526B42">
        <w:rPr>
          <w:rFonts w:cs="Arial"/>
        </w:rPr>
        <w:t xml:space="preserve"> or “visually impaired participants”</w:t>
      </w:r>
      <w:r w:rsidR="00CC0FCE" w:rsidRPr="00526B42">
        <w:rPr>
          <w:rFonts w:cs="Arial"/>
        </w:rPr>
        <w:t>), while our narrative uses consistent terminology as described above.</w:t>
      </w:r>
    </w:p>
    <w:p w14:paraId="2B56051D" w14:textId="35B20341" w:rsidR="00B02F66" w:rsidRPr="00526B42" w:rsidRDefault="00B02F66" w:rsidP="0012231C">
      <w:pPr>
        <w:rPr>
          <w:rFonts w:cs="Arial"/>
        </w:rPr>
      </w:pPr>
      <w:r>
        <w:rPr>
          <w:rFonts w:cs="Arial"/>
        </w:rPr>
        <w:t>[Note: Tables are presented at the end of this manuscript in landscape view].</w:t>
      </w:r>
    </w:p>
    <w:p w14:paraId="34DF87AB" w14:textId="77C420A7" w:rsidR="0012231C" w:rsidRPr="00526B42" w:rsidRDefault="0012231C" w:rsidP="0012231C">
      <w:pPr>
        <w:rPr>
          <w:rFonts w:cs="Arial"/>
        </w:rPr>
      </w:pPr>
      <w:r w:rsidRPr="00526B42">
        <w:rPr>
          <w:rFonts w:cs="Arial"/>
        </w:rPr>
        <w:t>Most studies included data from qualitative research designs with mixed methodologies including focus groups (47%, n = 9), ethnography and/or appreciative inquiry (26%, n = 5) and interviews (21%, n = 4). Four studies described ethnography as part of their study design to observe and engage directly within the priority community to understand culture in an ’immersive’ and ‘knowledge translational’ way (Jaiswal et al., 2020; Roy et al., 2021; Unger et al., 2021; Watharow &amp; Wayland, 2022). These studies focused on discovering problems and identifying solutions with the priority community either as research partners that contribute</w:t>
      </w:r>
      <w:r w:rsidR="005F0A7A">
        <w:rPr>
          <w:rFonts w:cs="Arial"/>
        </w:rPr>
        <w:t>d</w:t>
      </w:r>
      <w:r w:rsidRPr="00526B42">
        <w:rPr>
          <w:rFonts w:cs="Arial"/>
        </w:rPr>
        <w:t xml:space="preserve"> ideas as part of the project team, or research participants that contribute</w:t>
      </w:r>
      <w:r w:rsidR="005F0A7A">
        <w:rPr>
          <w:rFonts w:cs="Arial"/>
        </w:rPr>
        <w:t>d</w:t>
      </w:r>
      <w:r w:rsidRPr="00526B42">
        <w:rPr>
          <w:rFonts w:cs="Arial"/>
        </w:rPr>
        <w:t xml:space="preserve"> data for the research. Two additional studies sought to work with community organizations known to understand culture and information preferences (Duckett &amp; Pratt, 2001; Garofalo et al., 2022; Sabatello et al., 2019) [Note Sabatello et al 2019 and Garofalo et al 2022 are related research studies but report on different findings specific to different priority groups]. In these studies, identification and address of barriers and enablers to research participation in the planning stages was aimed to increase recruitment into their studies.</w:t>
      </w:r>
    </w:p>
    <w:p w14:paraId="7E646FC0" w14:textId="749FCF3A" w:rsidR="0012231C" w:rsidRPr="00526B42" w:rsidRDefault="00FB557F" w:rsidP="0012231C">
      <w:pPr>
        <w:rPr>
          <w:rFonts w:cs="Arial"/>
        </w:rPr>
      </w:pPr>
      <w:r w:rsidRPr="00526B42">
        <w:rPr>
          <w:rFonts w:cs="Arial"/>
          <w:color w:val="000000" w:themeColor="text1"/>
        </w:rPr>
        <w:t>Appreciative inquiry</w:t>
      </w:r>
      <w:r w:rsidR="0012231C" w:rsidRPr="00526B42">
        <w:rPr>
          <w:rFonts w:cs="Arial"/>
          <w:color w:val="000000" w:themeColor="text1"/>
        </w:rPr>
        <w:t xml:space="preserve"> cou</w:t>
      </w:r>
      <w:r w:rsidR="0012231C" w:rsidRPr="00526B42">
        <w:rPr>
          <w:rFonts w:cs="Arial"/>
        </w:rPr>
        <w:t>ld involve early stakeholder engagement</w:t>
      </w:r>
      <w:r w:rsidR="0038448C" w:rsidRPr="00526B42">
        <w:rPr>
          <w:rFonts w:cs="Arial"/>
        </w:rPr>
        <w:t>,</w:t>
      </w:r>
      <w:r w:rsidR="0012231C" w:rsidRPr="00526B42">
        <w:rPr>
          <w:rFonts w:cs="Arial"/>
        </w:rPr>
        <w:t xml:space="preserve"> with research partnership, to identify capacity and strengths (Anderson et al., 2020; McGrath et al., 2025; Roy et al., 2018; Wittich et al., 2023). Two related studies had elements of appreciative inquiry with early stakeholder engagement to co-design and distribute their online survey (Garofalo et al., 2022; Sabatello et al., 2019) and detailed in protocol paper (Sabatello et al., 2019). Three studies adopted appreciative inquiry using retrospective case review in combination with prospective focus groups or interviews with stakeholders (Jaiswal et al., 2020; Watharow &amp; Wayland, 2022; Wittich et al., 2023). </w:t>
      </w:r>
      <w:r w:rsidR="00DE167D" w:rsidRPr="00033005">
        <w:rPr>
          <w:rFonts w:cs="Arial"/>
        </w:rPr>
        <w:t>This approach enabled researchers</w:t>
      </w:r>
      <w:r w:rsidR="0012231C" w:rsidRPr="00526B42">
        <w:rPr>
          <w:rFonts w:cs="Arial"/>
        </w:rPr>
        <w:t xml:space="preserve"> </w:t>
      </w:r>
      <w:r w:rsidR="00DE167D" w:rsidRPr="00033005">
        <w:rPr>
          <w:rFonts w:cs="Arial"/>
        </w:rPr>
        <w:t xml:space="preserve">to understand </w:t>
      </w:r>
      <w:r w:rsidR="0012231C" w:rsidRPr="00526B42">
        <w:rPr>
          <w:rFonts w:cs="Arial"/>
        </w:rPr>
        <w:t xml:space="preserve">what worked well </w:t>
      </w:r>
      <w:r w:rsidR="000F35F8" w:rsidRPr="00033005">
        <w:rPr>
          <w:rFonts w:cs="Arial"/>
        </w:rPr>
        <w:t xml:space="preserve">in prior practice </w:t>
      </w:r>
      <w:r w:rsidR="0012231C" w:rsidRPr="00526B42">
        <w:rPr>
          <w:rFonts w:cs="Arial"/>
        </w:rPr>
        <w:t>and why</w:t>
      </w:r>
      <w:r w:rsidR="000F35F8" w:rsidRPr="00033005">
        <w:rPr>
          <w:rFonts w:cs="Arial"/>
        </w:rPr>
        <w:t>, and to</w:t>
      </w:r>
      <w:r w:rsidR="0012231C" w:rsidRPr="00526B42">
        <w:rPr>
          <w:rFonts w:cs="Arial"/>
        </w:rPr>
        <w:t xml:space="preserve"> </w:t>
      </w:r>
      <w:r w:rsidR="000F35F8" w:rsidRPr="00033005">
        <w:rPr>
          <w:rFonts w:cs="Arial"/>
        </w:rPr>
        <w:t>identify</w:t>
      </w:r>
      <w:r w:rsidR="0012231C" w:rsidRPr="00526B42">
        <w:rPr>
          <w:rFonts w:cs="Arial"/>
        </w:rPr>
        <w:t xml:space="preserve"> how to deliver inclusive informed consent practices. Aligned with participatory action research, </w:t>
      </w:r>
      <w:r w:rsidR="00477C43" w:rsidRPr="00526B42">
        <w:rPr>
          <w:rFonts w:cs="Arial"/>
        </w:rPr>
        <w:t>9</w:t>
      </w:r>
      <w:r w:rsidR="0012231C" w:rsidRPr="00526B42">
        <w:rPr>
          <w:rFonts w:cs="Arial"/>
        </w:rPr>
        <w:t xml:space="preserve"> studies included lived experience experts </w:t>
      </w:r>
      <w:r w:rsidR="00477C43" w:rsidRPr="00526B42">
        <w:rPr>
          <w:rFonts w:cs="Arial"/>
        </w:rPr>
        <w:t>within the</w:t>
      </w:r>
      <w:r w:rsidR="0012231C" w:rsidRPr="00526B42">
        <w:rPr>
          <w:rFonts w:cs="Arial"/>
        </w:rPr>
        <w:t xml:space="preserve"> research and/or authorship team</w:t>
      </w:r>
      <w:r w:rsidR="00CE6622" w:rsidRPr="00526B42">
        <w:rPr>
          <w:rFonts w:cs="Arial"/>
        </w:rPr>
        <w:t xml:space="preserve"> </w:t>
      </w:r>
      <w:r w:rsidR="0012231C" w:rsidRPr="00526B42">
        <w:rPr>
          <w:rFonts w:cs="Arial"/>
        </w:rPr>
        <w:t>(Anderson et al., 2020; Kushalnagar et al., 2023; McGrath et al., 2025; Roy et al., 2018; Singleton et al., 2014; Skilton et al., 2018; Watharow &amp; Wayland, 2022; Wittich et al., 2023; Young et al., 2016).</w:t>
      </w:r>
      <w:r w:rsidR="00B92E9D" w:rsidRPr="00526B42">
        <w:rPr>
          <w:rFonts w:cs="Arial"/>
        </w:rPr>
        <w:t xml:space="preserve"> </w:t>
      </w:r>
      <w:r w:rsidR="007C6CC7" w:rsidRPr="00526B42">
        <w:rPr>
          <w:rFonts w:cs="Arial"/>
        </w:rPr>
        <w:t>Lived experience involvement was identified through author affiliations (for example, lived experience advisor or expert), position statements, and descriptions of the research team within study methods.</w:t>
      </w:r>
      <w:r w:rsidR="009B54E5" w:rsidRPr="00526B42">
        <w:rPr>
          <w:rFonts w:cs="Arial"/>
        </w:rPr>
        <w:t xml:space="preserve"> </w:t>
      </w:r>
      <w:r w:rsidR="00B92E9D" w:rsidRPr="00526B42">
        <w:rPr>
          <w:rFonts w:cs="Arial"/>
        </w:rPr>
        <w:t>These experts also contributed to co-designing the methodology and accessibility strategies used.</w:t>
      </w:r>
    </w:p>
    <w:p w14:paraId="6E2027A3" w14:textId="77777777" w:rsidR="0012231C" w:rsidRPr="00526B42" w:rsidRDefault="0012231C" w:rsidP="0012231C">
      <w:pPr>
        <w:rPr>
          <w:rFonts w:cs="Arial"/>
        </w:rPr>
      </w:pPr>
      <w:r w:rsidRPr="00526B42">
        <w:rPr>
          <w:rFonts w:cs="Arial"/>
        </w:rPr>
        <w:t xml:space="preserve">Four studies were survey research and two of these combined survey data with a focus group or interviews. Six studies reported ethnicity and fewer reported the breakdown of communication preferences of the cohort. The sampling strategy most often applied was purposive or convenience, through establishing a relationship with community support services or agencies. </w:t>
      </w:r>
      <w:proofErr w:type="gramStart"/>
      <w:r w:rsidRPr="00526B42">
        <w:rPr>
          <w:rFonts w:cs="Arial"/>
        </w:rPr>
        <w:t>The majority of</w:t>
      </w:r>
      <w:proofErr w:type="gramEnd"/>
      <w:r w:rsidRPr="00526B42">
        <w:rPr>
          <w:rFonts w:cs="Arial"/>
        </w:rPr>
        <w:t xml:space="preserve"> studies (n = 14, 74%) described their informed consent procedure involving adaptations for accessibility.</w:t>
      </w:r>
    </w:p>
    <w:p w14:paraId="629D810A" w14:textId="77777777" w:rsidR="0012231C" w:rsidRPr="00526B42" w:rsidRDefault="0012231C" w:rsidP="00454C5B">
      <w:pPr>
        <w:pStyle w:val="Heading2"/>
      </w:pPr>
      <w:r w:rsidRPr="00526B42">
        <w:t>Results of individual studies</w:t>
      </w:r>
    </w:p>
    <w:p w14:paraId="4F6C3AF8" w14:textId="31DDE480" w:rsidR="0012231C" w:rsidRPr="00526B42" w:rsidRDefault="0012231C" w:rsidP="00BF44D8">
      <w:pPr>
        <w:pStyle w:val="Heading3"/>
      </w:pPr>
      <w:r w:rsidRPr="00526B42">
        <w:t>Quality of studies</w:t>
      </w:r>
      <w:r w:rsidR="001A4ED4">
        <w:t xml:space="preserve"> </w:t>
      </w:r>
    </w:p>
    <w:p w14:paraId="061F09E0" w14:textId="47D6D8E3" w:rsidR="0012231C" w:rsidRPr="00526B42" w:rsidRDefault="0012231C" w:rsidP="0012231C">
      <w:pPr>
        <w:rPr>
          <w:rFonts w:cs="Arial"/>
        </w:rPr>
      </w:pPr>
      <w:r w:rsidRPr="00526B42">
        <w:rPr>
          <w:rFonts w:cs="Arial"/>
        </w:rPr>
        <w:t xml:space="preserve">The </w:t>
      </w:r>
      <w:r w:rsidR="00B915A9">
        <w:rPr>
          <w:rFonts w:cs="Arial"/>
        </w:rPr>
        <w:t xml:space="preserve">4 </w:t>
      </w:r>
      <w:r w:rsidRPr="00526B42">
        <w:rPr>
          <w:rFonts w:cs="Arial"/>
        </w:rPr>
        <w:t>quantitative survey studies (</w:t>
      </w:r>
      <w:r w:rsidR="002F0432" w:rsidRPr="00526B42">
        <w:rPr>
          <w:rFonts w:cs="Arial"/>
        </w:rPr>
        <w:t>21%</w:t>
      </w:r>
      <w:r w:rsidR="00E74769">
        <w:rPr>
          <w:rFonts w:cs="Arial"/>
        </w:rPr>
        <w:t xml:space="preserve"> of </w:t>
      </w:r>
      <w:r w:rsidR="00F30CA7">
        <w:rPr>
          <w:rFonts w:cs="Arial"/>
        </w:rPr>
        <w:t>all included studies</w:t>
      </w:r>
      <w:r w:rsidRPr="00526B42">
        <w:rPr>
          <w:rFonts w:cs="Arial"/>
        </w:rPr>
        <w:t>) clear</w:t>
      </w:r>
      <w:r w:rsidR="00F30CA7">
        <w:rPr>
          <w:rFonts w:cs="Arial"/>
        </w:rPr>
        <w:t>ly stated their</w:t>
      </w:r>
      <w:r w:rsidRPr="00526B42">
        <w:rPr>
          <w:rFonts w:cs="Arial"/>
        </w:rPr>
        <w:t xml:space="preserve"> objective</w:t>
      </w:r>
      <w:r w:rsidR="00EA266C">
        <w:rPr>
          <w:rFonts w:cs="Arial"/>
        </w:rPr>
        <w:t>s;</w:t>
      </w:r>
      <w:r w:rsidRPr="00526B42">
        <w:rPr>
          <w:rFonts w:cs="Arial"/>
        </w:rPr>
        <w:t xml:space="preserve"> </w:t>
      </w:r>
      <w:r w:rsidR="00EA266C">
        <w:rPr>
          <w:rFonts w:cs="Arial"/>
        </w:rPr>
        <w:t>however,</w:t>
      </w:r>
      <w:r w:rsidRPr="00526B42">
        <w:rPr>
          <w:rFonts w:cs="Arial"/>
        </w:rPr>
        <w:t xml:space="preserve"> ratings varied across other elements of the</w:t>
      </w:r>
      <w:r w:rsidR="0024762F" w:rsidRPr="00526B42">
        <w:rPr>
          <w:rFonts w:cs="Arial"/>
        </w:rPr>
        <w:t xml:space="preserve"> reported</w:t>
      </w:r>
      <w:r w:rsidRPr="00526B42">
        <w:rPr>
          <w:rFonts w:cs="Arial"/>
        </w:rPr>
        <w:t xml:space="preserve"> research design. </w:t>
      </w:r>
      <w:r w:rsidR="00364999">
        <w:rPr>
          <w:rFonts w:cs="Arial"/>
        </w:rPr>
        <w:t>They</w:t>
      </w:r>
      <w:r w:rsidRPr="00526B42">
        <w:rPr>
          <w:rFonts w:cs="Arial"/>
        </w:rPr>
        <w:t xml:space="preserve"> lacked</w:t>
      </w:r>
      <w:r w:rsidR="006864C2" w:rsidRPr="00526B42">
        <w:rPr>
          <w:rFonts w:cs="Arial"/>
        </w:rPr>
        <w:t xml:space="preserve"> </w:t>
      </w:r>
      <w:r w:rsidR="00EA23C0">
        <w:rPr>
          <w:rFonts w:cs="Arial"/>
        </w:rPr>
        <w:t xml:space="preserve">sufficient </w:t>
      </w:r>
      <w:r w:rsidR="006864C2" w:rsidRPr="00526B42">
        <w:rPr>
          <w:rFonts w:cs="Arial"/>
        </w:rPr>
        <w:t>reporting</w:t>
      </w:r>
      <w:r w:rsidRPr="00526B42">
        <w:rPr>
          <w:rFonts w:cs="Arial"/>
        </w:rPr>
        <w:t xml:space="preserve"> or justification for </w:t>
      </w:r>
      <w:r w:rsidR="00DC53FB" w:rsidRPr="00526B42">
        <w:rPr>
          <w:rFonts w:cs="Arial"/>
        </w:rPr>
        <w:t xml:space="preserve">between 1-3 </w:t>
      </w:r>
      <w:r w:rsidRPr="00526B42">
        <w:rPr>
          <w:rFonts w:cs="Arial"/>
        </w:rPr>
        <w:t>criteria</w:t>
      </w:r>
      <w:r w:rsidR="00147F62">
        <w:rPr>
          <w:rFonts w:cs="Arial"/>
        </w:rPr>
        <w:t xml:space="preserve"> </w:t>
      </w:r>
      <w:r w:rsidR="00EA23C0">
        <w:rPr>
          <w:rFonts w:cs="Arial"/>
        </w:rPr>
        <w:t>particularly in relation to</w:t>
      </w:r>
      <w:r w:rsidR="00805CA8">
        <w:rPr>
          <w:rFonts w:cs="Arial"/>
        </w:rPr>
        <w:t xml:space="preserve"> </w:t>
      </w:r>
      <w:r w:rsidR="00EA23C0">
        <w:rPr>
          <w:rFonts w:cs="Arial"/>
        </w:rPr>
        <w:t>c</w:t>
      </w:r>
      <w:r w:rsidR="00805CA8">
        <w:rPr>
          <w:rFonts w:cs="Arial"/>
        </w:rPr>
        <w:t>ontrol of covariates</w:t>
      </w:r>
      <w:r w:rsidR="00504E8E">
        <w:rPr>
          <w:rFonts w:cs="Arial"/>
        </w:rPr>
        <w:t xml:space="preserve"> and </w:t>
      </w:r>
      <w:r w:rsidR="003E30AD">
        <w:rPr>
          <w:rFonts w:cs="Arial"/>
        </w:rPr>
        <w:t>detailed</w:t>
      </w:r>
      <w:r w:rsidR="00EE0C5E">
        <w:rPr>
          <w:rFonts w:cs="Arial"/>
        </w:rPr>
        <w:t xml:space="preserve"> participant</w:t>
      </w:r>
      <w:r w:rsidR="00150F53">
        <w:rPr>
          <w:rFonts w:cs="Arial"/>
        </w:rPr>
        <w:t xml:space="preserve"> characteristics</w:t>
      </w:r>
      <w:r w:rsidR="000A257C">
        <w:rPr>
          <w:rFonts w:cs="Arial"/>
        </w:rPr>
        <w:t>.</w:t>
      </w:r>
      <w:r w:rsidR="008E6C67">
        <w:rPr>
          <w:rFonts w:cs="Arial"/>
        </w:rPr>
        <w:t xml:space="preserve"> Three of the 4 survey studies did not </w:t>
      </w:r>
      <w:r w:rsidR="007806E7">
        <w:rPr>
          <w:rFonts w:cs="Arial"/>
        </w:rPr>
        <w:t xml:space="preserve">report </w:t>
      </w:r>
      <w:r w:rsidR="00B0137D">
        <w:rPr>
          <w:rFonts w:cs="Arial"/>
        </w:rPr>
        <w:t>estimates of variance</w:t>
      </w:r>
      <w:r w:rsidR="008D5CF5">
        <w:rPr>
          <w:rFonts w:cs="Arial"/>
        </w:rPr>
        <w:t xml:space="preserve"> for the main outcomes</w:t>
      </w:r>
      <w:r w:rsidR="00B0137D">
        <w:rPr>
          <w:rFonts w:cs="Arial"/>
        </w:rPr>
        <w:t xml:space="preserve"> (e.g., range, distribution, </w:t>
      </w:r>
      <w:r w:rsidR="0002084A">
        <w:rPr>
          <w:rFonts w:cs="Arial"/>
        </w:rPr>
        <w:t xml:space="preserve">or </w:t>
      </w:r>
      <w:r w:rsidR="00B0137D">
        <w:rPr>
          <w:rFonts w:cs="Arial"/>
        </w:rPr>
        <w:t>confidence intervals)</w:t>
      </w:r>
      <w:r w:rsidR="00F672B5">
        <w:rPr>
          <w:rFonts w:cs="Arial"/>
        </w:rPr>
        <w:t>. [Given the small number of quantitative studies, findings are presented as counts rather percentages].</w:t>
      </w:r>
    </w:p>
    <w:p w14:paraId="6FCA7851" w14:textId="1B4BDB19" w:rsidR="0012231C" w:rsidRDefault="001037E9" w:rsidP="0012231C">
      <w:pPr>
        <w:rPr>
          <w:rFonts w:cs="Arial"/>
        </w:rPr>
      </w:pPr>
      <w:r>
        <w:rPr>
          <w:rFonts w:cs="Arial"/>
        </w:rPr>
        <w:t>Of the</w:t>
      </w:r>
      <w:r w:rsidR="002342B5">
        <w:rPr>
          <w:rFonts w:cs="Arial"/>
        </w:rPr>
        <w:t xml:space="preserve"> 1</w:t>
      </w:r>
      <w:r w:rsidR="0002084A">
        <w:rPr>
          <w:rFonts w:cs="Arial"/>
        </w:rPr>
        <w:t>5</w:t>
      </w:r>
      <w:r w:rsidR="00F706A3">
        <w:rPr>
          <w:rFonts w:cs="Arial"/>
        </w:rPr>
        <w:t xml:space="preserve"> </w:t>
      </w:r>
      <w:r w:rsidR="003D03D9">
        <w:rPr>
          <w:rFonts w:cs="Arial"/>
        </w:rPr>
        <w:t xml:space="preserve">qualitative </w:t>
      </w:r>
      <w:r w:rsidR="002342B5">
        <w:rPr>
          <w:rFonts w:cs="Arial"/>
        </w:rPr>
        <w:t>studies</w:t>
      </w:r>
      <w:r w:rsidR="003D03D9">
        <w:rPr>
          <w:rFonts w:cs="Arial"/>
        </w:rPr>
        <w:t>, m</w:t>
      </w:r>
      <w:r w:rsidR="0012231C" w:rsidRPr="00526B42">
        <w:rPr>
          <w:rFonts w:cs="Arial"/>
        </w:rPr>
        <w:t>ost (12</w:t>
      </w:r>
      <w:r w:rsidR="00584E08">
        <w:rPr>
          <w:rFonts w:cs="Arial"/>
        </w:rPr>
        <w:t xml:space="preserve">, </w:t>
      </w:r>
      <w:r w:rsidR="00515E78">
        <w:rPr>
          <w:rFonts w:cs="Arial"/>
        </w:rPr>
        <w:t>80</w:t>
      </w:r>
      <w:r w:rsidR="00C346F5">
        <w:rPr>
          <w:rFonts w:cs="Arial"/>
        </w:rPr>
        <w:t>%</w:t>
      </w:r>
      <w:r w:rsidR="0012231C" w:rsidRPr="009907FC">
        <w:rPr>
          <w:rFonts w:cs="Arial"/>
        </w:rPr>
        <w:t xml:space="preserve">) </w:t>
      </w:r>
      <w:r w:rsidR="00347701">
        <w:rPr>
          <w:rFonts w:cs="Arial"/>
        </w:rPr>
        <w:t>clearly stated their</w:t>
      </w:r>
      <w:r w:rsidR="0012231C" w:rsidRPr="00347701">
        <w:rPr>
          <w:rFonts w:cs="Arial"/>
        </w:rPr>
        <w:t xml:space="preserve"> objective</w:t>
      </w:r>
      <w:r w:rsidR="00347701">
        <w:rPr>
          <w:rFonts w:cs="Arial"/>
        </w:rPr>
        <w:t>s</w:t>
      </w:r>
      <w:r w:rsidR="0012231C" w:rsidRPr="00347701">
        <w:rPr>
          <w:rFonts w:cs="Arial"/>
        </w:rPr>
        <w:t xml:space="preserve"> and described </w:t>
      </w:r>
      <w:r w:rsidR="00D9295C">
        <w:rPr>
          <w:rFonts w:cs="Arial"/>
        </w:rPr>
        <w:t xml:space="preserve">the study </w:t>
      </w:r>
      <w:r w:rsidR="009F522E">
        <w:rPr>
          <w:rFonts w:cs="Arial"/>
        </w:rPr>
        <w:t>design and context</w:t>
      </w:r>
      <w:r w:rsidR="0012231C" w:rsidRPr="009F522E">
        <w:rPr>
          <w:rFonts w:cs="Arial"/>
        </w:rPr>
        <w:t>. However, 11</w:t>
      </w:r>
      <w:r w:rsidR="00D9295C">
        <w:rPr>
          <w:rFonts w:cs="Arial"/>
        </w:rPr>
        <w:t xml:space="preserve"> studies </w:t>
      </w:r>
      <w:r w:rsidR="000859D2">
        <w:rPr>
          <w:rFonts w:cs="Arial"/>
        </w:rPr>
        <w:t>(</w:t>
      </w:r>
      <w:r w:rsidR="00497087">
        <w:rPr>
          <w:rFonts w:cs="Arial"/>
        </w:rPr>
        <w:t>73</w:t>
      </w:r>
      <w:r w:rsidR="00C346F5">
        <w:rPr>
          <w:rFonts w:cs="Arial"/>
        </w:rPr>
        <w:t>%</w:t>
      </w:r>
      <w:r w:rsidR="0012231C" w:rsidRPr="009F522E">
        <w:rPr>
          <w:rFonts w:cs="Arial"/>
        </w:rPr>
        <w:t>) did not describe the</w:t>
      </w:r>
      <w:r w:rsidR="00497087">
        <w:rPr>
          <w:rFonts w:cs="Arial"/>
        </w:rPr>
        <w:t>ir</w:t>
      </w:r>
      <w:r w:rsidR="0012231C" w:rsidRPr="009F522E">
        <w:rPr>
          <w:rFonts w:cs="Arial"/>
        </w:rPr>
        <w:t xml:space="preserve"> sampling strategy</w:t>
      </w:r>
      <w:r w:rsidR="00E8084A">
        <w:rPr>
          <w:rFonts w:cs="Arial"/>
        </w:rPr>
        <w:t xml:space="preserve"> </w:t>
      </w:r>
      <w:r w:rsidR="008F72AC">
        <w:rPr>
          <w:rFonts w:cs="Arial"/>
        </w:rPr>
        <w:t>(</w:t>
      </w:r>
      <w:r w:rsidR="00497087">
        <w:rPr>
          <w:rFonts w:cs="Arial"/>
        </w:rPr>
        <w:t xml:space="preserve">i.e., </w:t>
      </w:r>
      <w:r w:rsidR="00E8084A">
        <w:rPr>
          <w:rFonts w:cs="Arial"/>
        </w:rPr>
        <w:t>method</w:t>
      </w:r>
      <w:r w:rsidR="00661F50">
        <w:rPr>
          <w:rFonts w:cs="Arial"/>
        </w:rPr>
        <w:t>s</w:t>
      </w:r>
      <w:r w:rsidR="00E8084A">
        <w:rPr>
          <w:rFonts w:cs="Arial"/>
        </w:rPr>
        <w:t xml:space="preserve"> </w:t>
      </w:r>
      <w:r w:rsidR="008F72AC">
        <w:rPr>
          <w:rFonts w:cs="Arial"/>
        </w:rPr>
        <w:t>used to recruit participants)</w:t>
      </w:r>
      <w:r w:rsidR="0012231C" w:rsidRPr="009F522E">
        <w:rPr>
          <w:rFonts w:cs="Arial"/>
        </w:rPr>
        <w:t xml:space="preserve">. </w:t>
      </w:r>
      <w:r w:rsidR="00E50364">
        <w:rPr>
          <w:rFonts w:cs="Arial"/>
        </w:rPr>
        <w:t xml:space="preserve">Approximately </w:t>
      </w:r>
      <w:r w:rsidR="0012231C" w:rsidRPr="009F522E">
        <w:rPr>
          <w:rFonts w:cs="Arial"/>
        </w:rPr>
        <w:t xml:space="preserve">half </w:t>
      </w:r>
      <w:r w:rsidR="00E50364">
        <w:rPr>
          <w:rFonts w:cs="Arial"/>
        </w:rPr>
        <w:t>of the studies were underpinned by</w:t>
      </w:r>
      <w:r w:rsidR="0012231C" w:rsidRPr="009F522E">
        <w:rPr>
          <w:rFonts w:cs="Arial"/>
        </w:rPr>
        <w:t xml:space="preserve"> a theoretical framework and performed a verification procedure. </w:t>
      </w:r>
      <w:r w:rsidR="002A2306">
        <w:rPr>
          <w:rFonts w:cs="Arial"/>
        </w:rPr>
        <w:t xml:space="preserve">Reflexivity was addressed in </w:t>
      </w:r>
      <w:proofErr w:type="gramStart"/>
      <w:r w:rsidR="002A2306">
        <w:rPr>
          <w:rFonts w:cs="Arial"/>
        </w:rPr>
        <w:t>the majority of</w:t>
      </w:r>
      <w:proofErr w:type="gramEnd"/>
      <w:r w:rsidR="002A2306">
        <w:rPr>
          <w:rFonts w:cs="Arial"/>
        </w:rPr>
        <w:t xml:space="preserve"> studies </w:t>
      </w:r>
      <w:r w:rsidR="00661F50">
        <w:rPr>
          <w:rFonts w:cs="Arial"/>
        </w:rPr>
        <w:t xml:space="preserve">(10, </w:t>
      </w:r>
      <w:r w:rsidR="00C45476">
        <w:rPr>
          <w:rFonts w:cs="Arial"/>
        </w:rPr>
        <w:t>67</w:t>
      </w:r>
      <w:r w:rsidR="009769D6">
        <w:rPr>
          <w:rFonts w:cs="Arial"/>
        </w:rPr>
        <w:t>%)</w:t>
      </w:r>
      <w:r w:rsidR="006A0950">
        <w:rPr>
          <w:rFonts w:cs="Arial"/>
        </w:rPr>
        <w:t xml:space="preserve"> </w:t>
      </w:r>
      <w:r w:rsidR="00C45476">
        <w:rPr>
          <w:rFonts w:cs="Arial"/>
        </w:rPr>
        <w:t>with authors considering the potential</w:t>
      </w:r>
      <w:r w:rsidR="006A0950">
        <w:rPr>
          <w:rFonts w:cs="Arial"/>
        </w:rPr>
        <w:t xml:space="preserve"> i</w:t>
      </w:r>
      <w:r w:rsidR="00B672E6">
        <w:rPr>
          <w:rFonts w:cs="Arial"/>
        </w:rPr>
        <w:t xml:space="preserve">nfluence </w:t>
      </w:r>
      <w:r w:rsidR="006A0950">
        <w:rPr>
          <w:rFonts w:cs="Arial"/>
        </w:rPr>
        <w:t xml:space="preserve">of their </w:t>
      </w:r>
      <w:r w:rsidR="00B672E6">
        <w:rPr>
          <w:rFonts w:cs="Arial"/>
        </w:rPr>
        <w:t xml:space="preserve">perspectives </w:t>
      </w:r>
      <w:r w:rsidR="003E5C39">
        <w:rPr>
          <w:rFonts w:cs="Arial"/>
        </w:rPr>
        <w:t xml:space="preserve">on </w:t>
      </w:r>
      <w:r w:rsidR="00B672E6">
        <w:rPr>
          <w:rFonts w:cs="Arial"/>
        </w:rPr>
        <w:t xml:space="preserve">the </w:t>
      </w:r>
      <w:r w:rsidR="003E5C39">
        <w:rPr>
          <w:rFonts w:cs="Arial"/>
        </w:rPr>
        <w:t>data.</w:t>
      </w:r>
    </w:p>
    <w:p w14:paraId="0C5E8826" w14:textId="5FD41897" w:rsidR="000A6CAF" w:rsidRPr="00526B42" w:rsidRDefault="0012231C" w:rsidP="0012231C">
      <w:pPr>
        <w:rPr>
          <w:rFonts w:cs="Arial"/>
        </w:rPr>
      </w:pPr>
      <w:r w:rsidRPr="00526B42">
        <w:rPr>
          <w:rFonts w:cs="Arial"/>
        </w:rPr>
        <w:t xml:space="preserve">Three studies </w:t>
      </w:r>
      <w:r w:rsidR="00370684">
        <w:rPr>
          <w:rFonts w:cs="Arial"/>
        </w:rPr>
        <w:t xml:space="preserve">(16%) </w:t>
      </w:r>
      <w:r w:rsidRPr="00526B42">
        <w:rPr>
          <w:rFonts w:cs="Arial"/>
        </w:rPr>
        <w:t xml:space="preserve">met all criteria sufficiently and were </w:t>
      </w:r>
      <w:r w:rsidR="000A1EB0">
        <w:rPr>
          <w:rFonts w:cs="Arial"/>
        </w:rPr>
        <w:t>rated as</w:t>
      </w:r>
      <w:r w:rsidR="000A1EB0" w:rsidRPr="00526B42">
        <w:rPr>
          <w:rFonts w:cs="Arial"/>
        </w:rPr>
        <w:t xml:space="preserve"> </w:t>
      </w:r>
      <w:r w:rsidRPr="00526B42">
        <w:rPr>
          <w:rFonts w:cs="Arial"/>
        </w:rPr>
        <w:t>high quality (i.e., rated ‘</w:t>
      </w:r>
      <w:proofErr w:type="spellStart"/>
      <w:r w:rsidRPr="00526B42">
        <w:rPr>
          <w:rFonts w:cs="Arial"/>
        </w:rPr>
        <w:t>yes’</w:t>
      </w:r>
      <w:proofErr w:type="spellEnd"/>
      <w:r w:rsidRPr="00526B42">
        <w:rPr>
          <w:rFonts w:cs="Arial"/>
        </w:rPr>
        <w:t xml:space="preserve"> for all criteria) (Anderson et al., 2020; Sabatello et al., 2019; Young et al., 2016). </w:t>
      </w:r>
    </w:p>
    <w:p w14:paraId="72E9F09F" w14:textId="66C04294" w:rsidR="0012231C" w:rsidRPr="00526B42" w:rsidRDefault="0012231C" w:rsidP="0012231C">
      <w:pPr>
        <w:rPr>
          <w:rFonts w:cs="Arial"/>
        </w:rPr>
      </w:pPr>
      <w:r w:rsidRPr="00526B42">
        <w:rPr>
          <w:rFonts w:cs="Arial"/>
        </w:rPr>
        <w:t xml:space="preserve">Eight studies </w:t>
      </w:r>
      <w:r w:rsidR="00FE1B39">
        <w:rPr>
          <w:rFonts w:cs="Arial"/>
        </w:rPr>
        <w:t xml:space="preserve">(42%) </w:t>
      </w:r>
      <w:r w:rsidRPr="00526B42">
        <w:rPr>
          <w:rFonts w:cs="Arial"/>
        </w:rPr>
        <w:t xml:space="preserve">had minor </w:t>
      </w:r>
      <w:r w:rsidR="001C635B" w:rsidRPr="00526B42">
        <w:rPr>
          <w:rFonts w:cs="Arial"/>
        </w:rPr>
        <w:t>reporting</w:t>
      </w:r>
      <w:r w:rsidRPr="00526B42">
        <w:rPr>
          <w:rFonts w:cs="Arial"/>
        </w:rPr>
        <w:t xml:space="preserve"> concerns, with between </w:t>
      </w:r>
      <w:r w:rsidR="00B24C76" w:rsidRPr="00526B42">
        <w:rPr>
          <w:rFonts w:cs="Arial"/>
        </w:rPr>
        <w:t xml:space="preserve">1-3 </w:t>
      </w:r>
      <w:r w:rsidRPr="00526B42">
        <w:rPr>
          <w:rFonts w:cs="Arial"/>
        </w:rPr>
        <w:t xml:space="preserve">criteria being “partially” described or justified (Duckett &amp; Pratt, 2001; Garofalo et al., 2022; Jaiswal et al., 2020; McCaughey et al., 2016; McGrath et al., 2025; Roy et al., 2018; Singleton et al., 2014; Wittich et al., 2023).  </w:t>
      </w:r>
    </w:p>
    <w:p w14:paraId="13C0ED6A" w14:textId="78C70CEA" w:rsidR="0012231C" w:rsidRPr="00526B42" w:rsidRDefault="0012231C" w:rsidP="0012231C">
      <w:pPr>
        <w:rPr>
          <w:rFonts w:cs="Arial"/>
        </w:rPr>
      </w:pPr>
      <w:r w:rsidRPr="00526B42">
        <w:rPr>
          <w:rFonts w:cs="Arial"/>
        </w:rPr>
        <w:t xml:space="preserve">Three further studies </w:t>
      </w:r>
      <w:r w:rsidR="00FE1B39">
        <w:rPr>
          <w:rFonts w:cs="Arial"/>
        </w:rPr>
        <w:t xml:space="preserve">(16%) </w:t>
      </w:r>
      <w:r w:rsidRPr="00526B42">
        <w:rPr>
          <w:rFonts w:cs="Arial"/>
        </w:rPr>
        <w:t xml:space="preserve">had minor to moderate </w:t>
      </w:r>
      <w:r w:rsidR="00B24C76" w:rsidRPr="00526B42">
        <w:rPr>
          <w:rFonts w:cs="Arial"/>
        </w:rPr>
        <w:t xml:space="preserve">reporting </w:t>
      </w:r>
      <w:r w:rsidRPr="00526B42">
        <w:rPr>
          <w:rFonts w:cs="Arial"/>
        </w:rPr>
        <w:t xml:space="preserve">concerns with </w:t>
      </w:r>
      <w:r w:rsidR="00BF21C4">
        <w:rPr>
          <w:rFonts w:cs="Arial"/>
        </w:rPr>
        <w:t xml:space="preserve">4 </w:t>
      </w:r>
      <w:r w:rsidRPr="00526B42">
        <w:rPr>
          <w:rFonts w:cs="Arial"/>
        </w:rPr>
        <w:t xml:space="preserve">criteria “partially” described or justified (Skilton et al., 2018; Watharow &amp; Wayland, 2022; Williams, 2002). </w:t>
      </w:r>
    </w:p>
    <w:p w14:paraId="6B60B37A" w14:textId="5B71B423" w:rsidR="0012231C" w:rsidRPr="00526B42" w:rsidRDefault="0012231C" w:rsidP="0012231C">
      <w:pPr>
        <w:rPr>
          <w:rFonts w:cs="Arial"/>
        </w:rPr>
      </w:pPr>
      <w:r w:rsidRPr="00526B42">
        <w:rPr>
          <w:rFonts w:cs="Arial"/>
        </w:rPr>
        <w:t xml:space="preserve">Five studies </w:t>
      </w:r>
      <w:r w:rsidR="00FE1B39">
        <w:rPr>
          <w:rFonts w:cs="Arial"/>
        </w:rPr>
        <w:t xml:space="preserve">(26%) </w:t>
      </w:r>
      <w:r w:rsidRPr="00526B42">
        <w:rPr>
          <w:rFonts w:cs="Arial"/>
        </w:rPr>
        <w:t xml:space="preserve">had major </w:t>
      </w:r>
      <w:r w:rsidR="00B24C76" w:rsidRPr="00526B42">
        <w:rPr>
          <w:rFonts w:cs="Arial"/>
        </w:rPr>
        <w:t>reporting</w:t>
      </w:r>
      <w:r w:rsidRPr="00526B42">
        <w:rPr>
          <w:rFonts w:cs="Arial"/>
        </w:rPr>
        <w:t xml:space="preserve"> concerns, with </w:t>
      </w:r>
      <w:r w:rsidR="005A0C3E">
        <w:rPr>
          <w:rFonts w:cs="Arial"/>
        </w:rPr>
        <w:t>6</w:t>
      </w:r>
      <w:r w:rsidR="005A0C3E" w:rsidRPr="00526B42">
        <w:rPr>
          <w:rFonts w:cs="Arial"/>
        </w:rPr>
        <w:t xml:space="preserve"> </w:t>
      </w:r>
      <w:r w:rsidRPr="00526B42">
        <w:rPr>
          <w:rFonts w:cs="Arial"/>
        </w:rPr>
        <w:t xml:space="preserve">or more criteria insufficiently described or justified (rated as ‘partial’ or ‘no’) (Kim &amp; Sutharson, 2022; Kushalnagar et al., 2023; Spehar et al., 2016; Trujillo Tanner et al., 2018; Unger et al., 2021). </w:t>
      </w:r>
      <w:r w:rsidR="003462AF" w:rsidRPr="00526B42">
        <w:rPr>
          <w:rFonts w:cs="Arial"/>
        </w:rPr>
        <w:t xml:space="preserve">While these studies had lower quality reporting on their research design, they were </w:t>
      </w:r>
      <w:r w:rsidR="009C62E9">
        <w:rPr>
          <w:rFonts w:cs="Arial"/>
        </w:rPr>
        <w:t xml:space="preserve">retained </w:t>
      </w:r>
      <w:r w:rsidR="003462AF" w:rsidRPr="00526B42">
        <w:rPr>
          <w:rFonts w:cs="Arial"/>
        </w:rPr>
        <w:t>and their contributions were appropriately acknowledged</w:t>
      </w:r>
      <w:r w:rsidRPr="00526B42">
        <w:rPr>
          <w:rFonts w:cs="Arial"/>
        </w:rPr>
        <w:t>.</w:t>
      </w:r>
    </w:p>
    <w:p w14:paraId="64B2BCED" w14:textId="1835BAC7" w:rsidR="003E5003" w:rsidRPr="00526B42" w:rsidRDefault="0044712E" w:rsidP="0012231C">
      <w:pPr>
        <w:rPr>
          <w:rFonts w:cs="Arial"/>
        </w:rPr>
      </w:pPr>
      <w:r w:rsidRPr="00526B42">
        <w:rPr>
          <w:rFonts w:cs="Arial"/>
        </w:rPr>
        <w:t xml:space="preserve">Inter-rater agreement was substantial </w:t>
      </w:r>
      <w:r w:rsidR="00AB6221">
        <w:rPr>
          <w:rFonts w:cs="Arial"/>
        </w:rPr>
        <w:t>(</w:t>
      </w:r>
      <w:r w:rsidRPr="00526B42">
        <w:rPr>
          <w:rFonts w:cs="Arial"/>
        </w:rPr>
        <w:t>weighted kappa of 0.80</w:t>
      </w:r>
      <w:r w:rsidR="00AB6221">
        <w:rPr>
          <w:rFonts w:cs="Arial"/>
        </w:rPr>
        <w:t>),</w:t>
      </w:r>
      <w:r w:rsidRPr="00526B42">
        <w:rPr>
          <w:rFonts w:cs="Arial"/>
        </w:rPr>
        <w:t xml:space="preserve"> </w:t>
      </w:r>
      <w:r w:rsidR="00AB6221">
        <w:rPr>
          <w:rFonts w:cs="Arial"/>
        </w:rPr>
        <w:t>with</w:t>
      </w:r>
      <w:r w:rsidRPr="00526B42">
        <w:rPr>
          <w:rFonts w:cs="Arial"/>
        </w:rPr>
        <w:t xml:space="preserve"> 83.7% agreement across all criteria. </w:t>
      </w:r>
      <w:r w:rsidR="00411090" w:rsidRPr="00526B42">
        <w:rPr>
          <w:rFonts w:cs="Arial"/>
        </w:rPr>
        <w:t>Most discrepancies reflected one-point differences between ratings and were resolved through discussion</w:t>
      </w:r>
      <w:r w:rsidRPr="00526B42">
        <w:rPr>
          <w:rFonts w:cs="Arial"/>
        </w:rPr>
        <w:t>.</w:t>
      </w:r>
    </w:p>
    <w:p w14:paraId="77D24375" w14:textId="77777777" w:rsidR="0012231C" w:rsidRPr="00526B42" w:rsidRDefault="0012231C" w:rsidP="00BD3FAF">
      <w:pPr>
        <w:pStyle w:val="Heading2"/>
      </w:pPr>
      <w:r w:rsidRPr="00526B42">
        <w:t>Results of syntheses: Review findings</w:t>
      </w:r>
    </w:p>
    <w:p w14:paraId="5872CE52" w14:textId="60975021" w:rsidR="0012231C" w:rsidRPr="00526B42" w:rsidRDefault="0012231C" w:rsidP="0012231C">
      <w:pPr>
        <w:rPr>
          <w:rFonts w:cs="Arial"/>
        </w:rPr>
      </w:pPr>
      <w:r w:rsidRPr="00526B42">
        <w:rPr>
          <w:rFonts w:cs="Arial"/>
        </w:rPr>
        <w:t xml:space="preserve">The stages of the meta-aggregation process are shown in </w:t>
      </w:r>
      <w:r w:rsidRPr="00526B42">
        <w:rPr>
          <w:rFonts w:cs="Arial"/>
          <w:b/>
          <w:bCs/>
        </w:rPr>
        <w:t>Figure 1</w:t>
      </w:r>
      <w:r w:rsidRPr="00526B42">
        <w:rPr>
          <w:rFonts w:cs="Arial"/>
        </w:rPr>
        <w:t xml:space="preserve">. At a system level, factors included available resources and access to knowledge and information. Implementation process strategies included assessing needs, planning, tailoring strategies, and engaging others. Results relating to determinants and implementation strategies are displayed in a logic model in </w:t>
      </w:r>
      <w:r w:rsidRPr="00526B42">
        <w:rPr>
          <w:rFonts w:cs="Arial"/>
          <w:b/>
          <w:bCs/>
        </w:rPr>
        <w:t>Supplementary File</w:t>
      </w:r>
      <w:r w:rsidRPr="00526B42">
        <w:rPr>
          <w:rFonts w:cs="Arial"/>
        </w:rPr>
        <w:t xml:space="preserve">. As relevant, studies reported the context and steps [mechanisms] taken to implement a strategy and included information on what and how accessibility strategies were implemented. However, evidence </w:t>
      </w:r>
      <w:r w:rsidR="000A102C" w:rsidRPr="00526B42">
        <w:rPr>
          <w:rFonts w:cs="Arial"/>
        </w:rPr>
        <w:t xml:space="preserve">or reporting </w:t>
      </w:r>
      <w:r w:rsidRPr="00526B42">
        <w:rPr>
          <w:rFonts w:cs="Arial"/>
        </w:rPr>
        <w:t>was lacking regarding the specific outcomes or effects that these strategies produced</w:t>
      </w:r>
      <w:r w:rsidR="001B3873" w:rsidRPr="00526B42">
        <w:rPr>
          <w:rFonts w:cs="Arial"/>
        </w:rPr>
        <w:t>,</w:t>
      </w:r>
      <w:r w:rsidRPr="00526B42">
        <w:rPr>
          <w:rFonts w:cs="Arial"/>
        </w:rPr>
        <w:t xml:space="preserve"> such as impact to researcher or research participant acceptability. Thus, in our logic model we predicted the relevant outcomes for the context to complete the model </w:t>
      </w:r>
      <w:r w:rsidR="001B3873" w:rsidRPr="00526B42">
        <w:rPr>
          <w:rFonts w:cs="Arial"/>
        </w:rPr>
        <w:t xml:space="preserve">and consider the implications </w:t>
      </w:r>
      <w:r w:rsidRPr="00526B42">
        <w:rPr>
          <w:rFonts w:cs="Arial"/>
        </w:rPr>
        <w:t>(Proctor et al., 2011).</w:t>
      </w:r>
    </w:p>
    <w:p w14:paraId="47621281" w14:textId="34188A1E" w:rsidR="0012231C" w:rsidRPr="00526B42" w:rsidRDefault="0012231C" w:rsidP="009C657D">
      <w:pPr>
        <w:pStyle w:val="Heading2"/>
      </w:pPr>
      <w:r w:rsidRPr="00526B42">
        <w:t xml:space="preserve">Key </w:t>
      </w:r>
      <w:r w:rsidR="00106F4A" w:rsidRPr="00526B42">
        <w:t>P</w:t>
      </w:r>
      <w:r w:rsidRPr="00526B42">
        <w:t>rinciples to enable information access during informed consent processes.</w:t>
      </w:r>
    </w:p>
    <w:p w14:paraId="186CBC3A" w14:textId="2C776DDA" w:rsidR="0012231C" w:rsidRPr="00526B42" w:rsidRDefault="0012231C" w:rsidP="0012231C">
      <w:pPr>
        <w:rPr>
          <w:rFonts w:cs="Arial"/>
        </w:rPr>
      </w:pPr>
      <w:r w:rsidRPr="00526B42">
        <w:rPr>
          <w:rFonts w:cs="Arial"/>
        </w:rPr>
        <w:t xml:space="preserve">We initially planned to present our findings for each priority population. However, during the meta-synthesis process, it became clear that due to the overlapping patterns and concepts in the data, integration </w:t>
      </w:r>
      <w:r w:rsidR="00FE5F47">
        <w:rPr>
          <w:rFonts w:cs="Arial"/>
        </w:rPr>
        <w:t>across populations</w:t>
      </w:r>
      <w:r w:rsidRPr="00526B42">
        <w:rPr>
          <w:rFonts w:cs="Arial"/>
        </w:rPr>
        <w:t xml:space="preserve"> undergoing an informed consent process was applicable. Therefore, to accurately represent this data, findings were aggregated and integrated into a set of </w:t>
      </w:r>
      <w:r w:rsidR="006E5A41" w:rsidRPr="00526B42">
        <w:rPr>
          <w:rFonts w:cs="Arial"/>
        </w:rPr>
        <w:t>8</w:t>
      </w:r>
      <w:r w:rsidRPr="00526B42">
        <w:rPr>
          <w:rFonts w:cs="Arial"/>
        </w:rPr>
        <w:t xml:space="preserve"> key </w:t>
      </w:r>
      <w:r w:rsidR="006E5A41" w:rsidRPr="00526B42">
        <w:rPr>
          <w:rFonts w:cs="Arial"/>
        </w:rPr>
        <w:t>P</w:t>
      </w:r>
      <w:r w:rsidRPr="00526B42">
        <w:rPr>
          <w:rFonts w:cs="Arial"/>
        </w:rPr>
        <w:t xml:space="preserve">rinciples that apply to varied contexts and conditions. Exemplary examples are reported, with evidence certainty shown after the description of each </w:t>
      </w:r>
      <w:r w:rsidR="002F487A" w:rsidRPr="00526B42">
        <w:rPr>
          <w:rFonts w:cs="Arial"/>
        </w:rPr>
        <w:t>P</w:t>
      </w:r>
      <w:r w:rsidRPr="00526B42">
        <w:rPr>
          <w:rFonts w:cs="Arial"/>
        </w:rPr>
        <w:t xml:space="preserve">rinciple. </w:t>
      </w:r>
    </w:p>
    <w:p w14:paraId="1E7DBCFD" w14:textId="79FE2E88" w:rsidR="0012231C" w:rsidRPr="00526B42" w:rsidRDefault="0012231C" w:rsidP="00BD3FAF">
      <w:pPr>
        <w:pStyle w:val="Heading3"/>
      </w:pPr>
      <w:r w:rsidRPr="00526B42">
        <w:t>Certainty of evidence</w:t>
      </w:r>
      <w:r w:rsidR="003379A6">
        <w:t xml:space="preserve"> (confidence</w:t>
      </w:r>
      <w:r w:rsidR="00EC6758">
        <w:t>)</w:t>
      </w:r>
    </w:p>
    <w:p w14:paraId="458E5C82" w14:textId="5106DC55" w:rsidR="002A0D4F" w:rsidRDefault="0012231C" w:rsidP="00EB7E5C">
      <w:pPr>
        <w:rPr>
          <w:rFonts w:cs="Arial"/>
        </w:rPr>
      </w:pPr>
      <w:r w:rsidRPr="00526B42">
        <w:rPr>
          <w:rFonts w:cs="Arial"/>
        </w:rPr>
        <w:t xml:space="preserve">The </w:t>
      </w:r>
      <w:r w:rsidR="00807773">
        <w:rPr>
          <w:rFonts w:cs="Arial"/>
        </w:rPr>
        <w:t xml:space="preserve">GRADE </w:t>
      </w:r>
      <w:r w:rsidRPr="00526B42">
        <w:rPr>
          <w:rFonts w:cs="Arial"/>
        </w:rPr>
        <w:t xml:space="preserve">CERQual method was used to assess confidence </w:t>
      </w:r>
      <w:r w:rsidR="00BC3E01">
        <w:rPr>
          <w:rFonts w:cs="Arial"/>
        </w:rPr>
        <w:t>in</w:t>
      </w:r>
      <w:r w:rsidRPr="00526B42">
        <w:rPr>
          <w:rFonts w:cs="Arial"/>
        </w:rPr>
        <w:t xml:space="preserve"> each </w:t>
      </w:r>
      <w:proofErr w:type="gramStart"/>
      <w:r w:rsidR="002F487A" w:rsidRPr="00526B42">
        <w:rPr>
          <w:rFonts w:cs="Arial"/>
        </w:rPr>
        <w:t>P</w:t>
      </w:r>
      <w:r w:rsidRPr="00526B42">
        <w:rPr>
          <w:rFonts w:cs="Arial"/>
        </w:rPr>
        <w:t>rinciple</w:t>
      </w:r>
      <w:proofErr w:type="gramEnd"/>
      <w:r w:rsidRPr="00526B42">
        <w:rPr>
          <w:rFonts w:cs="Arial"/>
        </w:rPr>
        <w:t xml:space="preserve"> statement</w:t>
      </w:r>
      <w:r w:rsidR="005B723E">
        <w:rPr>
          <w:rFonts w:cs="Arial"/>
        </w:rPr>
        <w:t>,</w:t>
      </w:r>
      <w:r w:rsidRPr="00526B42">
        <w:rPr>
          <w:rFonts w:cs="Arial"/>
        </w:rPr>
        <w:t xml:space="preserve"> with ratings high, moderate, low or very low confidence. </w:t>
      </w:r>
      <w:r w:rsidR="00657673">
        <w:rPr>
          <w:rFonts w:cs="Arial"/>
        </w:rPr>
        <w:t>O</w:t>
      </w:r>
      <w:r w:rsidRPr="00526B42">
        <w:rPr>
          <w:rFonts w:cs="Arial"/>
        </w:rPr>
        <w:t xml:space="preserve">f </w:t>
      </w:r>
      <w:r w:rsidR="00657673">
        <w:rPr>
          <w:rFonts w:cs="Arial"/>
        </w:rPr>
        <w:t xml:space="preserve">the </w:t>
      </w:r>
      <w:r w:rsidRPr="00526B42">
        <w:rPr>
          <w:rFonts w:cs="Arial"/>
        </w:rPr>
        <w:t xml:space="preserve">8 </w:t>
      </w:r>
      <w:r w:rsidR="002F487A" w:rsidRPr="00526B42">
        <w:rPr>
          <w:rFonts w:cs="Arial"/>
        </w:rPr>
        <w:t>P</w:t>
      </w:r>
      <w:r w:rsidRPr="00526B42">
        <w:rPr>
          <w:rFonts w:cs="Arial"/>
        </w:rPr>
        <w:t>rinciple</w:t>
      </w:r>
      <w:r w:rsidR="00190811" w:rsidRPr="00526B42">
        <w:rPr>
          <w:rFonts w:cs="Arial"/>
        </w:rPr>
        <w:t>s</w:t>
      </w:r>
      <w:r w:rsidRPr="00526B42">
        <w:rPr>
          <w:rFonts w:cs="Arial"/>
        </w:rPr>
        <w:t>, 4 were assessed as high confidence, 2 as moderate to low confidence</w:t>
      </w:r>
      <w:r w:rsidR="002B5AEA">
        <w:rPr>
          <w:rFonts w:cs="Arial"/>
        </w:rPr>
        <w:t>,</w:t>
      </w:r>
      <w:r w:rsidRPr="00526B42">
        <w:rPr>
          <w:rFonts w:cs="Arial"/>
        </w:rPr>
        <w:t xml:space="preserve"> and 2 as low confidence [</w:t>
      </w:r>
      <w:r w:rsidRPr="00526B42">
        <w:rPr>
          <w:rFonts w:cs="Arial"/>
          <w:b/>
          <w:bCs/>
        </w:rPr>
        <w:t>Table 3</w:t>
      </w:r>
      <w:r w:rsidRPr="00526B42">
        <w:rPr>
          <w:rFonts w:cs="Arial"/>
        </w:rPr>
        <w:t>]. Low</w:t>
      </w:r>
      <w:r w:rsidR="00DB119A">
        <w:rPr>
          <w:rFonts w:cs="Arial"/>
        </w:rPr>
        <w:t>er</w:t>
      </w:r>
      <w:r w:rsidRPr="00526B42">
        <w:rPr>
          <w:rFonts w:cs="Arial"/>
        </w:rPr>
        <w:t xml:space="preserve"> confidence </w:t>
      </w:r>
      <w:r w:rsidR="00DB119A">
        <w:rPr>
          <w:rFonts w:cs="Arial"/>
        </w:rPr>
        <w:t>ratings were</w:t>
      </w:r>
      <w:r w:rsidR="000F7946">
        <w:rPr>
          <w:rFonts w:cs="Arial"/>
        </w:rPr>
        <w:t xml:space="preserve"> </w:t>
      </w:r>
      <w:r w:rsidR="00353C45">
        <w:rPr>
          <w:rFonts w:cs="Arial"/>
        </w:rPr>
        <w:t>primarily</w:t>
      </w:r>
      <w:r w:rsidR="000F7946">
        <w:rPr>
          <w:rFonts w:cs="Arial"/>
        </w:rPr>
        <w:t xml:space="preserve"> </w:t>
      </w:r>
      <w:r w:rsidRPr="00526B42">
        <w:rPr>
          <w:rFonts w:cs="Arial"/>
        </w:rPr>
        <w:t xml:space="preserve">due to </w:t>
      </w:r>
      <w:r w:rsidR="00845EA5">
        <w:rPr>
          <w:rFonts w:cs="Arial"/>
        </w:rPr>
        <w:t xml:space="preserve">concerns regarding </w:t>
      </w:r>
      <w:r w:rsidRPr="00526B42">
        <w:rPr>
          <w:rFonts w:cs="Arial"/>
        </w:rPr>
        <w:t>data adequacy</w:t>
      </w:r>
      <w:r w:rsidR="004F2AF2">
        <w:rPr>
          <w:rFonts w:cs="Arial"/>
        </w:rPr>
        <w:t>, reflecting a limited number of contributing studies for some Principles</w:t>
      </w:r>
      <w:r w:rsidRPr="00526B42">
        <w:rPr>
          <w:rFonts w:cs="Arial"/>
        </w:rPr>
        <w:t xml:space="preserve">. </w:t>
      </w:r>
      <w:r w:rsidR="00AE4267">
        <w:rPr>
          <w:rFonts w:cs="Arial"/>
        </w:rPr>
        <w:t>M</w:t>
      </w:r>
      <w:r w:rsidR="00B32A21">
        <w:rPr>
          <w:rFonts w:cs="Arial"/>
        </w:rPr>
        <w:t>ethodological</w:t>
      </w:r>
      <w:r w:rsidR="00556AF2" w:rsidRPr="00526B42">
        <w:rPr>
          <w:rFonts w:cs="Arial"/>
        </w:rPr>
        <w:t xml:space="preserve"> </w:t>
      </w:r>
      <w:r w:rsidRPr="00526B42">
        <w:rPr>
          <w:rFonts w:cs="Arial"/>
        </w:rPr>
        <w:t xml:space="preserve">limitations </w:t>
      </w:r>
      <w:r w:rsidR="00AE4267">
        <w:rPr>
          <w:rFonts w:cs="Arial"/>
        </w:rPr>
        <w:t>also contributed in some cases</w:t>
      </w:r>
      <w:r w:rsidRPr="00526B42">
        <w:rPr>
          <w:rFonts w:cs="Arial"/>
        </w:rPr>
        <w:t xml:space="preserve">, </w:t>
      </w:r>
      <w:r w:rsidR="002A0D4F">
        <w:rPr>
          <w:rFonts w:cs="Arial"/>
        </w:rPr>
        <w:t xml:space="preserve">informed by QualSyst ratings of contributing studies. </w:t>
      </w:r>
    </w:p>
    <w:p w14:paraId="1C333C35" w14:textId="7F72BD67" w:rsidR="00EB7E5C" w:rsidRPr="00EB7E5C" w:rsidRDefault="003C176F" w:rsidP="00EB7E5C">
      <w:pPr>
        <w:rPr>
          <w:rFonts w:cs="Arial"/>
        </w:rPr>
      </w:pPr>
      <w:r>
        <w:rPr>
          <w:rFonts w:cs="Arial"/>
        </w:rPr>
        <w:t>D</w:t>
      </w:r>
      <w:r w:rsidR="0012231C" w:rsidRPr="00526B42">
        <w:rPr>
          <w:rFonts w:cs="Arial"/>
        </w:rPr>
        <w:t>ata relevance and coherence w</w:t>
      </w:r>
      <w:r w:rsidR="00CA4501">
        <w:rPr>
          <w:rFonts w:cs="Arial"/>
        </w:rPr>
        <w:t>ere</w:t>
      </w:r>
      <w:r w:rsidR="0012231C" w:rsidRPr="00526B42">
        <w:rPr>
          <w:rFonts w:cs="Arial"/>
        </w:rPr>
        <w:t xml:space="preserve"> generally high</w:t>
      </w:r>
      <w:r w:rsidR="002A4E88">
        <w:rPr>
          <w:rFonts w:cs="Arial"/>
        </w:rPr>
        <w:t xml:space="preserve"> across most Principles</w:t>
      </w:r>
      <w:r w:rsidR="007F531B">
        <w:rPr>
          <w:rFonts w:cs="Arial"/>
        </w:rPr>
        <w:t xml:space="preserve">. </w:t>
      </w:r>
      <w:r w:rsidR="000F1DE9">
        <w:rPr>
          <w:rFonts w:cs="Arial"/>
        </w:rPr>
        <w:t xml:space="preserve">Included studies addressed the review question </w:t>
      </w:r>
      <w:r w:rsidR="00AA0C7B">
        <w:rPr>
          <w:rFonts w:cs="Arial"/>
        </w:rPr>
        <w:t>and were applicable to the specified context, supporting strong relevance</w:t>
      </w:r>
      <w:r w:rsidR="003C5F56">
        <w:rPr>
          <w:rFonts w:cs="Arial"/>
        </w:rPr>
        <w:t xml:space="preserve">. Coherence was supported by the analytic process, whereby </w:t>
      </w:r>
      <w:r w:rsidR="005E304E">
        <w:rPr>
          <w:rFonts w:cs="Arial"/>
        </w:rPr>
        <w:t xml:space="preserve">primary </w:t>
      </w:r>
      <w:r w:rsidR="00AC6E78">
        <w:rPr>
          <w:rFonts w:cs="Arial"/>
        </w:rPr>
        <w:t xml:space="preserve">data </w:t>
      </w:r>
      <w:r w:rsidR="00EB7E5C" w:rsidRPr="00EB7E5C">
        <w:rPr>
          <w:rFonts w:cs="Arial"/>
        </w:rPr>
        <w:t xml:space="preserve">were </w:t>
      </w:r>
      <w:r w:rsidR="003C5F56">
        <w:rPr>
          <w:rFonts w:cs="Arial"/>
        </w:rPr>
        <w:t>systematically</w:t>
      </w:r>
      <w:r w:rsidR="00EB7E5C" w:rsidRPr="00EB7E5C">
        <w:rPr>
          <w:rFonts w:cs="Arial"/>
        </w:rPr>
        <w:t xml:space="preserve"> mapped to CFIR domains and constructs</w:t>
      </w:r>
      <w:r w:rsidR="00D95F21">
        <w:rPr>
          <w:rFonts w:cs="Arial"/>
        </w:rPr>
        <w:t>,</w:t>
      </w:r>
      <w:r w:rsidR="00EB7E5C" w:rsidRPr="00EB7E5C">
        <w:rPr>
          <w:rFonts w:cs="Arial"/>
        </w:rPr>
        <w:t xml:space="preserve"> organised into categories, </w:t>
      </w:r>
      <w:r w:rsidR="00CA062B">
        <w:rPr>
          <w:rFonts w:cs="Arial"/>
        </w:rPr>
        <w:t xml:space="preserve">and </w:t>
      </w:r>
      <w:r w:rsidR="00EB7E5C" w:rsidRPr="00EB7E5C">
        <w:rPr>
          <w:rFonts w:cs="Arial"/>
        </w:rPr>
        <w:t xml:space="preserve">aggregated into synthesised </w:t>
      </w:r>
      <w:r w:rsidR="00AC6E78">
        <w:rPr>
          <w:rFonts w:cs="Arial"/>
        </w:rPr>
        <w:t xml:space="preserve">review </w:t>
      </w:r>
      <w:r w:rsidR="00EB7E5C" w:rsidRPr="00EB7E5C">
        <w:rPr>
          <w:rFonts w:cs="Arial"/>
        </w:rPr>
        <w:t>findings. These findings informed the final Principles, preserving the underlying meaning of the primary data</w:t>
      </w:r>
      <w:r w:rsidR="004D0F2A">
        <w:rPr>
          <w:rFonts w:cs="Arial"/>
        </w:rPr>
        <w:t xml:space="preserve"> ensur</w:t>
      </w:r>
      <w:r w:rsidR="001009D9">
        <w:rPr>
          <w:rFonts w:cs="Arial"/>
        </w:rPr>
        <w:t>ing</w:t>
      </w:r>
      <w:r w:rsidR="00391E42">
        <w:rPr>
          <w:rFonts w:cs="Arial"/>
        </w:rPr>
        <w:t xml:space="preserve"> a clear and cogent fit between the </w:t>
      </w:r>
      <w:r w:rsidR="005B4A7C">
        <w:rPr>
          <w:rFonts w:cs="Arial"/>
        </w:rPr>
        <w:t xml:space="preserve">primary study </w:t>
      </w:r>
      <w:r w:rsidR="00D47737">
        <w:rPr>
          <w:rFonts w:cs="Arial"/>
        </w:rPr>
        <w:t>data and resulting Principles.</w:t>
      </w:r>
      <w:r w:rsidR="00391E42">
        <w:rPr>
          <w:rFonts w:cs="Arial"/>
        </w:rPr>
        <w:t xml:space="preserve"> </w:t>
      </w:r>
      <w:r w:rsidR="00EB7E5C" w:rsidRPr="00EB7E5C">
        <w:rPr>
          <w:rFonts w:cs="Arial"/>
        </w:rPr>
        <w:t xml:space="preserve"> </w:t>
      </w:r>
      <w:r w:rsidR="00C8448A" w:rsidRPr="00C8448A">
        <w:rPr>
          <w:rFonts w:cs="Arial"/>
        </w:rPr>
        <w:t>Overall GRADE-CERQual ratings reflected a reasoned assessment across methodological limitations, coherence, adequacy, and relevance, rather than the number of contributing studies alone.</w:t>
      </w:r>
    </w:p>
    <w:p w14:paraId="07F830A6" w14:textId="290F4F97" w:rsidR="0012231C" w:rsidRPr="00526B42" w:rsidRDefault="0012231C" w:rsidP="0012231C">
      <w:pPr>
        <w:rPr>
          <w:rFonts w:cs="Arial"/>
          <w:b/>
          <w:bCs/>
        </w:rPr>
      </w:pPr>
      <w:r w:rsidRPr="00526B42">
        <w:rPr>
          <w:rFonts w:cs="Arial"/>
          <w:b/>
          <w:bCs/>
        </w:rPr>
        <w:t xml:space="preserve">Principle 1: Foster inclusion through a comprehensive audit and delivery of access needs: High </w:t>
      </w:r>
      <w:r w:rsidR="00DE1778">
        <w:rPr>
          <w:rFonts w:cs="Arial"/>
          <w:b/>
          <w:bCs/>
        </w:rPr>
        <w:t>confidence</w:t>
      </w:r>
      <w:r w:rsidR="00870FD6">
        <w:rPr>
          <w:rFonts w:cs="Arial"/>
          <w:b/>
          <w:bCs/>
        </w:rPr>
        <w:t xml:space="preserve"> in</w:t>
      </w:r>
      <w:r w:rsidR="00DE1778" w:rsidRPr="00526B42">
        <w:rPr>
          <w:rFonts w:cs="Arial"/>
          <w:b/>
          <w:bCs/>
        </w:rPr>
        <w:t xml:space="preserve"> </w:t>
      </w:r>
      <w:r w:rsidR="00870FD6">
        <w:rPr>
          <w:rFonts w:cs="Arial"/>
          <w:b/>
          <w:bCs/>
        </w:rPr>
        <w:t>the</w:t>
      </w:r>
      <w:r w:rsidRPr="00526B42">
        <w:rPr>
          <w:rFonts w:cs="Arial"/>
          <w:b/>
          <w:bCs/>
        </w:rPr>
        <w:t xml:space="preserve"> evidence.</w:t>
      </w:r>
    </w:p>
    <w:p w14:paraId="576F0FFE" w14:textId="34FAD105" w:rsidR="0012231C" w:rsidRPr="00526B42" w:rsidRDefault="0012231C" w:rsidP="0012231C">
      <w:pPr>
        <w:rPr>
          <w:rFonts w:cs="Arial"/>
        </w:rPr>
      </w:pPr>
      <w:r w:rsidRPr="00526B42">
        <w:rPr>
          <w:rFonts w:cs="Arial"/>
        </w:rPr>
        <w:t xml:space="preserve">As shown in Table 3, 9 studies contributed to this </w:t>
      </w:r>
      <w:r w:rsidR="005D26C1" w:rsidRPr="00526B42">
        <w:rPr>
          <w:rFonts w:cs="Arial"/>
        </w:rPr>
        <w:t>P</w:t>
      </w:r>
      <w:r w:rsidRPr="00526B42">
        <w:rPr>
          <w:rFonts w:cs="Arial"/>
        </w:rPr>
        <w:t xml:space="preserve">rinciple. Those conducting an informed consent process are required by domestic and international GCP standards to identify and understand the information needs and communication preferences of prospective participants. This includes preferences for exchanging information and communications, encompassing receptive and expressive language. </w:t>
      </w:r>
      <w:r w:rsidR="008A36EC" w:rsidRPr="00526B42">
        <w:rPr>
          <w:rFonts w:cs="Arial"/>
        </w:rPr>
        <w:t>E</w:t>
      </w:r>
      <w:r w:rsidRPr="00526B42">
        <w:rPr>
          <w:rFonts w:cs="Arial"/>
        </w:rPr>
        <w:t>arly engagement with stakeholders who have existing relationships with the community</w:t>
      </w:r>
      <w:r w:rsidR="008A36EC" w:rsidRPr="00526B42">
        <w:rPr>
          <w:rFonts w:cs="Arial"/>
        </w:rPr>
        <w:t xml:space="preserve"> </w:t>
      </w:r>
      <w:r w:rsidR="005024A3">
        <w:rPr>
          <w:rFonts w:cs="Arial"/>
        </w:rPr>
        <w:t>should</w:t>
      </w:r>
      <w:r w:rsidR="008A36EC" w:rsidRPr="00526B42">
        <w:rPr>
          <w:rFonts w:cs="Arial"/>
        </w:rPr>
        <w:t xml:space="preserve"> occur</w:t>
      </w:r>
      <w:r w:rsidRPr="00526B42">
        <w:rPr>
          <w:rFonts w:cs="Arial"/>
        </w:rPr>
        <w:t>. This enables a broadening of knowledge and understanding in these areas which aids in assessing readiness to address access needs. A good example of this was provided by Anderson et al (2020) where the first phase of the research identified barriers and facilitators to the full engagement of the Deaf community by conducting three community forums hosted at local community centres (Anderson et al., 2020). Watharow et al (2022)</w:t>
      </w:r>
      <w:r w:rsidR="00191939" w:rsidRPr="00033005">
        <w:rPr>
          <w:rFonts w:cs="Arial"/>
        </w:rPr>
        <w:t xml:space="preserve"> also provided a clear example</w:t>
      </w:r>
      <w:r w:rsidRPr="00526B42">
        <w:rPr>
          <w:rFonts w:cs="Arial"/>
        </w:rPr>
        <w:t xml:space="preserve"> </w:t>
      </w:r>
      <w:r w:rsidR="003A125B" w:rsidRPr="00526B42">
        <w:rPr>
          <w:rFonts w:cs="Arial"/>
        </w:rPr>
        <w:t>demonstrat</w:t>
      </w:r>
      <w:r w:rsidR="00191939" w:rsidRPr="00033005">
        <w:rPr>
          <w:rFonts w:cs="Arial"/>
        </w:rPr>
        <w:t>ing that</w:t>
      </w:r>
      <w:r w:rsidRPr="00526B42">
        <w:rPr>
          <w:rFonts w:cs="Arial"/>
        </w:rPr>
        <w:t xml:space="preserve"> “immersion” in the community prior to commencing any research procedures is </w:t>
      </w:r>
      <w:r w:rsidR="00FC6EDB" w:rsidRPr="00033005">
        <w:rPr>
          <w:rFonts w:cs="Arial"/>
        </w:rPr>
        <w:t xml:space="preserve">essential to </w:t>
      </w:r>
      <w:r w:rsidRPr="00526B42">
        <w:rPr>
          <w:rFonts w:cs="Arial"/>
        </w:rPr>
        <w:t>understand</w:t>
      </w:r>
      <w:r w:rsidR="00830061" w:rsidRPr="00033005">
        <w:rPr>
          <w:rFonts w:cs="Arial"/>
        </w:rPr>
        <w:t xml:space="preserve"> </w:t>
      </w:r>
      <w:r w:rsidRPr="00526B42">
        <w:rPr>
          <w:rFonts w:cs="Arial"/>
        </w:rPr>
        <w:t>how to create accessible information</w:t>
      </w:r>
      <w:r w:rsidR="00FC6EDB" w:rsidRPr="00033005">
        <w:rPr>
          <w:rFonts w:cs="Arial"/>
        </w:rPr>
        <w:t>,</w:t>
      </w:r>
      <w:r w:rsidRPr="00526B42">
        <w:rPr>
          <w:rFonts w:cs="Arial"/>
        </w:rPr>
        <w:t xml:space="preserve"> communication and inclusive environments (Watharow &amp; Wayland, 2022). This includes attending community meetings, events and training opportunities. </w:t>
      </w:r>
    </w:p>
    <w:p w14:paraId="5AC56C3F" w14:textId="360FE2BC" w:rsidR="0012231C" w:rsidRPr="00526B42" w:rsidRDefault="0012231C" w:rsidP="0012231C">
      <w:pPr>
        <w:rPr>
          <w:rFonts w:cs="Arial"/>
        </w:rPr>
      </w:pPr>
      <w:r w:rsidRPr="00526B42">
        <w:rPr>
          <w:rFonts w:cs="Arial"/>
        </w:rPr>
        <w:t xml:space="preserve">In summary, </w:t>
      </w:r>
      <w:r w:rsidR="008F2E0D" w:rsidRPr="00526B42">
        <w:rPr>
          <w:rFonts w:cs="Arial"/>
        </w:rPr>
        <w:t>P</w:t>
      </w:r>
      <w:r w:rsidRPr="00526B42">
        <w:rPr>
          <w:rFonts w:cs="Arial"/>
        </w:rPr>
        <w:t xml:space="preserve">rinciple </w:t>
      </w:r>
      <w:r w:rsidR="008F2E0D" w:rsidRPr="00526B42">
        <w:rPr>
          <w:rFonts w:cs="Arial"/>
        </w:rPr>
        <w:t xml:space="preserve">1 </w:t>
      </w:r>
      <w:r w:rsidRPr="00526B42">
        <w:rPr>
          <w:rFonts w:cs="Arial"/>
        </w:rPr>
        <w:t>requires:</w:t>
      </w:r>
    </w:p>
    <w:p w14:paraId="62D69915" w14:textId="77777777" w:rsidR="0012231C" w:rsidRPr="00526B42" w:rsidRDefault="0012231C" w:rsidP="0012231C">
      <w:pPr>
        <w:pStyle w:val="ListParagraph"/>
        <w:numPr>
          <w:ilvl w:val="0"/>
          <w:numId w:val="4"/>
        </w:numPr>
        <w:rPr>
          <w:rFonts w:cs="Arial"/>
        </w:rPr>
      </w:pPr>
      <w:r w:rsidRPr="00526B42">
        <w:rPr>
          <w:rFonts w:cs="Arial"/>
        </w:rPr>
        <w:t>Early assessment of barriers and enablers to information access.</w:t>
      </w:r>
    </w:p>
    <w:p w14:paraId="5DBB9F8E" w14:textId="77777777" w:rsidR="0012231C" w:rsidRPr="00526B42" w:rsidRDefault="0012231C" w:rsidP="0012231C">
      <w:pPr>
        <w:pStyle w:val="ListParagraph"/>
        <w:numPr>
          <w:ilvl w:val="0"/>
          <w:numId w:val="4"/>
        </w:numPr>
        <w:rPr>
          <w:rFonts w:cs="Arial"/>
        </w:rPr>
      </w:pPr>
      <w:r w:rsidRPr="00526B42">
        <w:rPr>
          <w:rFonts w:cs="Arial"/>
        </w:rPr>
        <w:t xml:space="preserve">Broadening knowledge and understanding of modes and methods to maximize accessibility. </w:t>
      </w:r>
    </w:p>
    <w:p w14:paraId="01E4FE21" w14:textId="77777777" w:rsidR="0012231C" w:rsidRPr="00526B42" w:rsidRDefault="0012231C" w:rsidP="0012231C">
      <w:pPr>
        <w:pStyle w:val="ListParagraph"/>
        <w:numPr>
          <w:ilvl w:val="0"/>
          <w:numId w:val="4"/>
        </w:numPr>
        <w:rPr>
          <w:rFonts w:cs="Arial"/>
        </w:rPr>
      </w:pPr>
      <w:r w:rsidRPr="00526B42">
        <w:rPr>
          <w:rFonts w:cs="Arial"/>
        </w:rPr>
        <w:t>A firm understanding of the information and communication needs of the population/cohort.</w:t>
      </w:r>
    </w:p>
    <w:p w14:paraId="48F5EEE9" w14:textId="15318A7B" w:rsidR="0012231C" w:rsidRPr="00526B42" w:rsidRDefault="0012231C" w:rsidP="0012231C">
      <w:pPr>
        <w:rPr>
          <w:rFonts w:cs="Arial"/>
          <w:b/>
          <w:bCs/>
        </w:rPr>
      </w:pPr>
      <w:r w:rsidRPr="00526B42">
        <w:rPr>
          <w:rFonts w:cs="Arial"/>
          <w:b/>
          <w:bCs/>
        </w:rPr>
        <w:t xml:space="preserve">Principle 2: Engage support and advocacy organizations for cultural competency and connection. High </w:t>
      </w:r>
      <w:r w:rsidR="00870FD6">
        <w:rPr>
          <w:rFonts w:cs="Arial"/>
          <w:b/>
          <w:bCs/>
        </w:rPr>
        <w:t>confidence in the</w:t>
      </w:r>
      <w:r w:rsidRPr="00526B42">
        <w:rPr>
          <w:rFonts w:cs="Arial"/>
          <w:b/>
          <w:bCs/>
        </w:rPr>
        <w:t xml:space="preserve"> evidence.</w:t>
      </w:r>
    </w:p>
    <w:p w14:paraId="1DDB3FF5" w14:textId="41806734" w:rsidR="0012231C" w:rsidRPr="00526B42" w:rsidRDefault="0012231C" w:rsidP="0012231C">
      <w:pPr>
        <w:rPr>
          <w:rFonts w:cs="Arial"/>
        </w:rPr>
      </w:pPr>
      <w:r w:rsidRPr="00526B42">
        <w:rPr>
          <w:rFonts w:cs="Arial"/>
        </w:rPr>
        <w:t xml:space="preserve">Eleven studies contributed to this </w:t>
      </w:r>
      <w:r w:rsidR="000822FB" w:rsidRPr="00526B42">
        <w:rPr>
          <w:rFonts w:cs="Arial"/>
        </w:rPr>
        <w:t>P</w:t>
      </w:r>
      <w:r w:rsidRPr="00526B42">
        <w:rPr>
          <w:rFonts w:cs="Arial"/>
        </w:rPr>
        <w:t xml:space="preserve">rinciple (Table 3). Involvement of key stakeholders in the planning and execution of informed consent processes supports providers being able to meet participant needs. This includes involving members of the community as ‘cultural brokers’ (Anderson et al., 2020). By collaborating with leading </w:t>
      </w:r>
      <w:r w:rsidR="0029523D">
        <w:rPr>
          <w:rFonts w:cs="Arial"/>
        </w:rPr>
        <w:t xml:space="preserve">community </w:t>
      </w:r>
      <w:r w:rsidR="00C07779">
        <w:rPr>
          <w:rFonts w:cs="Arial"/>
        </w:rPr>
        <w:t xml:space="preserve">advocacy and </w:t>
      </w:r>
      <w:r w:rsidRPr="00526B42">
        <w:rPr>
          <w:rFonts w:cs="Arial"/>
        </w:rPr>
        <w:t xml:space="preserve">support organizations, research staff can identify local and trusted interpreter agencies with a view to using qualified and trusted providers who are fluent in sign language and can translate medical terminology. Early engagement with sign language interpreters can provide an opportunity for the interpreter to prepare (e.g., provide multiple accessible information formats in advance) (Roy et al., 2018; Skilton et al., 2018; Young et al., 2016). </w:t>
      </w:r>
    </w:p>
    <w:p w14:paraId="7F316647" w14:textId="15FBBDAD" w:rsidR="0012231C" w:rsidRPr="00526B42" w:rsidRDefault="0012231C" w:rsidP="0012231C">
      <w:pPr>
        <w:rPr>
          <w:rFonts w:cs="Arial"/>
        </w:rPr>
      </w:pPr>
      <w:r w:rsidRPr="00526B42">
        <w:rPr>
          <w:rFonts w:cs="Arial"/>
        </w:rPr>
        <w:t xml:space="preserve">An important example of this </w:t>
      </w:r>
      <w:r w:rsidR="009B4C62" w:rsidRPr="00526B42">
        <w:rPr>
          <w:rFonts w:cs="Arial"/>
        </w:rPr>
        <w:t>P</w:t>
      </w:r>
      <w:r w:rsidRPr="00526B42">
        <w:rPr>
          <w:rFonts w:cs="Arial"/>
        </w:rPr>
        <w:t>rincip</w:t>
      </w:r>
      <w:r w:rsidR="00B12739">
        <w:rPr>
          <w:rFonts w:cs="Arial"/>
        </w:rPr>
        <w:t>le</w:t>
      </w:r>
      <w:r w:rsidRPr="00526B42">
        <w:rPr>
          <w:rFonts w:cs="Arial"/>
        </w:rPr>
        <w:t xml:space="preserve"> was reported by Roy et al. (2018) who indicated that a vital first step was to seek guidance from those with existing expertise arising from their work with people who are Deafblind (Roy et al., 2018). This led to an initial framework that outlined the requirements to effectively meet access needs including the skills, tools and resources needed. These findings were supported by Jaiswal et al (2020) who added that community support agencies hold ‘core expertise and technical knowledge’ (Jaiswal et al., 2020). Furthermore, these agencies can help reduce potential barriers to information and communication access between parties. Capturing and sharing local knowledge across and between organizations and project teams should be promoted.</w:t>
      </w:r>
    </w:p>
    <w:p w14:paraId="252DAE8D" w14:textId="77777777" w:rsidR="0012231C" w:rsidRPr="00526B42" w:rsidRDefault="0012231C" w:rsidP="0012231C">
      <w:pPr>
        <w:rPr>
          <w:rFonts w:cs="Arial"/>
        </w:rPr>
      </w:pPr>
      <w:r w:rsidRPr="00526B42">
        <w:rPr>
          <w:rFonts w:cs="Arial"/>
        </w:rPr>
        <w:t>Other examples where project teams engaged with community networks in the formative stages of their research to ‘deepen the dialogue’ and collaborate included Anderson et al (2020) and Sabatello et al (2019). In addition to these studies, several others engaged with leading community agencies to assist with recruitment, leveraging existing processes for disseminating information through channels and in methods known to meet access needs (Duckett &amp; Pratt, 2001; Garofalo et al., 2022; Roy et al., 2018; Sabatello et al., 2019; Wittich et al., 2023; Young et al., 2016).</w:t>
      </w:r>
    </w:p>
    <w:p w14:paraId="648E1B55" w14:textId="20F87D2C" w:rsidR="0012231C" w:rsidRPr="00526B42" w:rsidRDefault="0012231C" w:rsidP="0012231C">
      <w:pPr>
        <w:rPr>
          <w:rFonts w:cs="Arial"/>
        </w:rPr>
      </w:pPr>
      <w:r w:rsidRPr="00526B42">
        <w:rPr>
          <w:rFonts w:cs="Arial"/>
        </w:rPr>
        <w:t xml:space="preserve">In summary, following </w:t>
      </w:r>
      <w:r w:rsidR="002902BF" w:rsidRPr="00526B42">
        <w:rPr>
          <w:rFonts w:cs="Arial"/>
        </w:rPr>
        <w:t>P</w:t>
      </w:r>
      <w:r w:rsidRPr="00526B42">
        <w:rPr>
          <w:rFonts w:cs="Arial"/>
        </w:rPr>
        <w:t xml:space="preserve">rinciple </w:t>
      </w:r>
      <w:r w:rsidR="002902BF" w:rsidRPr="00526B42">
        <w:rPr>
          <w:rFonts w:cs="Arial"/>
        </w:rPr>
        <w:t xml:space="preserve">2 </w:t>
      </w:r>
      <w:r w:rsidRPr="00526B42">
        <w:rPr>
          <w:rFonts w:cs="Arial"/>
        </w:rPr>
        <w:t>enables:</w:t>
      </w:r>
    </w:p>
    <w:p w14:paraId="3ABB69FD" w14:textId="77777777" w:rsidR="0012231C" w:rsidRPr="00526B42" w:rsidRDefault="0012231C" w:rsidP="0012231C">
      <w:pPr>
        <w:pStyle w:val="ListParagraph"/>
        <w:numPr>
          <w:ilvl w:val="0"/>
          <w:numId w:val="5"/>
        </w:numPr>
        <w:rPr>
          <w:rFonts w:cs="Arial"/>
        </w:rPr>
      </w:pPr>
      <w:r w:rsidRPr="00526B42">
        <w:rPr>
          <w:rFonts w:cs="Arial"/>
        </w:rPr>
        <w:t>Expertise of advocacy organizations to help inform what are the most likely set of preferred formats for exchanging information.</w:t>
      </w:r>
    </w:p>
    <w:p w14:paraId="42DDEE25" w14:textId="77777777" w:rsidR="0012231C" w:rsidRPr="00526B42" w:rsidRDefault="0012231C" w:rsidP="0012231C">
      <w:pPr>
        <w:pStyle w:val="ListParagraph"/>
        <w:numPr>
          <w:ilvl w:val="0"/>
          <w:numId w:val="5"/>
        </w:numPr>
        <w:rPr>
          <w:rFonts w:cs="Arial"/>
        </w:rPr>
      </w:pPr>
      <w:r w:rsidRPr="00526B42">
        <w:rPr>
          <w:rFonts w:cs="Arial"/>
        </w:rPr>
        <w:t>Recognition of the trust and confidence that representatives bring to initial engagement with the intended cohort in a culturally appropriate and sensitive manner.</w:t>
      </w:r>
    </w:p>
    <w:p w14:paraId="5705D61C" w14:textId="77777777" w:rsidR="0012231C" w:rsidRPr="00526B42" w:rsidRDefault="0012231C" w:rsidP="0012231C">
      <w:pPr>
        <w:pStyle w:val="ListParagraph"/>
        <w:numPr>
          <w:ilvl w:val="0"/>
          <w:numId w:val="5"/>
        </w:numPr>
        <w:rPr>
          <w:rFonts w:cs="Arial"/>
        </w:rPr>
      </w:pPr>
      <w:r w:rsidRPr="00526B42">
        <w:rPr>
          <w:rFonts w:cs="Arial"/>
        </w:rPr>
        <w:t>Through this network, engage with trusted supporters and language interpreters known to the community.</w:t>
      </w:r>
    </w:p>
    <w:p w14:paraId="15F3D3C1" w14:textId="77777777" w:rsidR="0012231C" w:rsidRPr="00526B42" w:rsidRDefault="0012231C" w:rsidP="0012231C">
      <w:pPr>
        <w:pStyle w:val="ListParagraph"/>
        <w:numPr>
          <w:ilvl w:val="0"/>
          <w:numId w:val="5"/>
        </w:numPr>
        <w:rPr>
          <w:rFonts w:cs="Arial"/>
        </w:rPr>
      </w:pPr>
      <w:r w:rsidRPr="00526B42">
        <w:rPr>
          <w:rFonts w:cs="Arial"/>
        </w:rPr>
        <w:t>Collaboration to aid recruitment from trusted sources.</w:t>
      </w:r>
    </w:p>
    <w:p w14:paraId="460F55F3" w14:textId="75A852E9" w:rsidR="0012231C" w:rsidRPr="00526B42" w:rsidRDefault="0012231C" w:rsidP="0012231C">
      <w:pPr>
        <w:rPr>
          <w:rFonts w:cs="Arial"/>
          <w:b/>
          <w:bCs/>
        </w:rPr>
      </w:pPr>
      <w:r w:rsidRPr="00526B42">
        <w:rPr>
          <w:rFonts w:cs="Arial"/>
          <w:b/>
          <w:bCs/>
        </w:rPr>
        <w:t xml:space="preserve">Principle 3: Develop trust and safety through having people with lived experience as part of the project team. High </w:t>
      </w:r>
      <w:r w:rsidR="00870FD6">
        <w:rPr>
          <w:rFonts w:cs="Arial"/>
          <w:b/>
          <w:bCs/>
        </w:rPr>
        <w:t>confidence in the</w:t>
      </w:r>
      <w:r w:rsidRPr="00526B42">
        <w:rPr>
          <w:rFonts w:cs="Arial"/>
          <w:b/>
          <w:bCs/>
        </w:rPr>
        <w:t xml:space="preserve"> evidence.</w:t>
      </w:r>
    </w:p>
    <w:p w14:paraId="55612604" w14:textId="15565BEB" w:rsidR="0012231C" w:rsidRPr="00526B42" w:rsidRDefault="0012231C" w:rsidP="0012231C">
      <w:pPr>
        <w:rPr>
          <w:rFonts w:cs="Arial"/>
        </w:rPr>
      </w:pPr>
      <w:r w:rsidRPr="00526B42">
        <w:rPr>
          <w:rFonts w:cs="Arial"/>
        </w:rPr>
        <w:t xml:space="preserve">Eleven studies contributed to this </w:t>
      </w:r>
      <w:r w:rsidR="00934000" w:rsidRPr="00526B42">
        <w:rPr>
          <w:rFonts w:cs="Arial"/>
        </w:rPr>
        <w:t>P</w:t>
      </w:r>
      <w:r w:rsidRPr="00526B42">
        <w:rPr>
          <w:rFonts w:cs="Arial"/>
        </w:rPr>
        <w:t xml:space="preserve">rinciple (Table 3). This </w:t>
      </w:r>
      <w:r w:rsidR="00934000" w:rsidRPr="00526B42">
        <w:rPr>
          <w:rFonts w:cs="Arial"/>
        </w:rPr>
        <w:t>P</w:t>
      </w:r>
      <w:r w:rsidRPr="00526B42">
        <w:rPr>
          <w:rFonts w:cs="Arial"/>
        </w:rPr>
        <w:t xml:space="preserve">rinciple is focused on embedding consumer involvement in research and having people with lived experience, </w:t>
      </w:r>
      <w:r w:rsidR="00B8111F">
        <w:rPr>
          <w:rFonts w:cs="Arial"/>
        </w:rPr>
        <w:t xml:space="preserve">who have </w:t>
      </w:r>
      <w:r w:rsidRPr="00526B42">
        <w:rPr>
          <w:rFonts w:cs="Arial"/>
        </w:rPr>
        <w:t xml:space="preserve">implicit knowledge of access needs, involved in the delivery of an inclusive informed consent process. This </w:t>
      </w:r>
      <w:r w:rsidR="00934000" w:rsidRPr="00526B42">
        <w:rPr>
          <w:rFonts w:cs="Arial"/>
        </w:rPr>
        <w:t>P</w:t>
      </w:r>
      <w:r w:rsidRPr="00526B42">
        <w:rPr>
          <w:rFonts w:cs="Arial"/>
        </w:rPr>
        <w:t xml:space="preserve">rinciple is notably supported by studies that had people with ‘expert knowledge’ as central in delivering informed consent processes. An outstanding example of this was provided by Anderson et al (2020) who commenced their research study by first “cultivating a Deaf majority research team”. Six </w:t>
      </w:r>
      <w:r w:rsidR="00F1103A">
        <w:rPr>
          <w:rFonts w:cs="Arial"/>
        </w:rPr>
        <w:t xml:space="preserve">members </w:t>
      </w:r>
      <w:r w:rsidRPr="00526B42">
        <w:rPr>
          <w:rFonts w:cs="Arial"/>
        </w:rPr>
        <w:t xml:space="preserve">of the </w:t>
      </w:r>
      <w:proofErr w:type="gramStart"/>
      <w:r w:rsidR="001C10EB" w:rsidRPr="00526B42">
        <w:rPr>
          <w:rFonts w:cs="Arial"/>
        </w:rPr>
        <w:t>8</w:t>
      </w:r>
      <w:r w:rsidRPr="00526B42">
        <w:rPr>
          <w:rFonts w:cs="Arial"/>
        </w:rPr>
        <w:t xml:space="preserve"> </w:t>
      </w:r>
      <w:r w:rsidR="001C10EB" w:rsidRPr="00526B42">
        <w:rPr>
          <w:rFonts w:cs="Arial"/>
        </w:rPr>
        <w:t>person</w:t>
      </w:r>
      <w:proofErr w:type="gramEnd"/>
      <w:r w:rsidR="001C10EB" w:rsidRPr="00526B42">
        <w:rPr>
          <w:rFonts w:cs="Arial"/>
        </w:rPr>
        <w:t xml:space="preserve"> </w:t>
      </w:r>
      <w:r w:rsidRPr="00526B42">
        <w:rPr>
          <w:rFonts w:cs="Arial"/>
        </w:rPr>
        <w:t xml:space="preserve">team identified as Deaf, and all were fluent in sign language. In addition, </w:t>
      </w:r>
      <w:r w:rsidR="008105EA">
        <w:rPr>
          <w:rFonts w:cs="Arial"/>
        </w:rPr>
        <w:t>the</w:t>
      </w:r>
      <w:r w:rsidR="009D2F11">
        <w:rPr>
          <w:rFonts w:cs="Arial"/>
        </w:rPr>
        <w:t xml:space="preserve"> </w:t>
      </w:r>
      <w:r w:rsidRPr="00526B42">
        <w:rPr>
          <w:rFonts w:cs="Arial"/>
        </w:rPr>
        <w:t xml:space="preserve">project team </w:t>
      </w:r>
      <w:r w:rsidR="008105EA">
        <w:rPr>
          <w:rFonts w:cs="Arial"/>
        </w:rPr>
        <w:t xml:space="preserve">was intentionally diverse </w:t>
      </w:r>
      <w:r w:rsidRPr="00526B42">
        <w:rPr>
          <w:rFonts w:cs="Arial"/>
        </w:rPr>
        <w:t xml:space="preserve">with respect to ethnicity, gender identity, level of education, background and skill set. With this preparation, their informed consent process was delivered by native sign language users and related materials provided in multiple preferred formats. </w:t>
      </w:r>
    </w:p>
    <w:p w14:paraId="0AFC4006" w14:textId="003872D7" w:rsidR="0012231C" w:rsidRPr="00526B42" w:rsidRDefault="0012231C" w:rsidP="0012231C">
      <w:pPr>
        <w:rPr>
          <w:rFonts w:cs="Arial"/>
        </w:rPr>
      </w:pPr>
      <w:r w:rsidRPr="00526B42">
        <w:rPr>
          <w:rFonts w:cs="Arial"/>
        </w:rPr>
        <w:t xml:space="preserve">Another example was that provided by McGrath et al (2025) who acknowledged that inclusion in the research and consent process is influenced by the recipient’s perceived sense of belonging and whether they had equitable access to the information and process. These authors reported that “producing access is a collective and desirable ongoing endeavour” and when research is led by those from the community there is often an increased perception of trust, respect and value. This </w:t>
      </w:r>
      <w:r w:rsidR="00B1414E" w:rsidRPr="00526B42">
        <w:rPr>
          <w:rFonts w:cs="Arial"/>
        </w:rPr>
        <w:t>P</w:t>
      </w:r>
      <w:r w:rsidRPr="00526B42">
        <w:rPr>
          <w:rFonts w:cs="Arial"/>
        </w:rPr>
        <w:t>rinciple was represented by other noteworthy studies including Roy et al (2020), Watharow and Wayland (2022) and Unger et al (2021).</w:t>
      </w:r>
    </w:p>
    <w:p w14:paraId="0A30CE1F" w14:textId="471C4E5E" w:rsidR="0012231C" w:rsidRPr="00526B42" w:rsidRDefault="0012231C" w:rsidP="0012231C">
      <w:pPr>
        <w:rPr>
          <w:rFonts w:cs="Arial"/>
        </w:rPr>
      </w:pPr>
      <w:r w:rsidRPr="00526B42">
        <w:rPr>
          <w:rFonts w:cs="Arial"/>
        </w:rPr>
        <w:t xml:space="preserve">In summary, this </w:t>
      </w:r>
      <w:r w:rsidR="00B1414E" w:rsidRPr="00526B42">
        <w:rPr>
          <w:rFonts w:cs="Arial"/>
        </w:rPr>
        <w:t>P</w:t>
      </w:r>
      <w:r w:rsidRPr="00526B42">
        <w:rPr>
          <w:rFonts w:cs="Arial"/>
        </w:rPr>
        <w:t xml:space="preserve">rinciple </w:t>
      </w:r>
      <w:r w:rsidR="00B1414E" w:rsidRPr="00526B42">
        <w:rPr>
          <w:rFonts w:cs="Arial"/>
        </w:rPr>
        <w:t xml:space="preserve">3 </w:t>
      </w:r>
      <w:r w:rsidRPr="00526B42">
        <w:rPr>
          <w:rFonts w:cs="Arial"/>
        </w:rPr>
        <w:t>requires:</w:t>
      </w:r>
    </w:p>
    <w:p w14:paraId="0D60279F" w14:textId="77777777" w:rsidR="0012231C" w:rsidRPr="00526B42" w:rsidRDefault="0012231C" w:rsidP="0012231C">
      <w:pPr>
        <w:pStyle w:val="ListParagraph"/>
        <w:numPr>
          <w:ilvl w:val="0"/>
          <w:numId w:val="6"/>
        </w:numPr>
        <w:rPr>
          <w:rFonts w:cs="Arial"/>
        </w:rPr>
      </w:pPr>
      <w:r w:rsidRPr="00526B42">
        <w:rPr>
          <w:rFonts w:cs="Arial"/>
        </w:rPr>
        <w:t>Co-design and co-production of the research and informed consent process.</w:t>
      </w:r>
    </w:p>
    <w:p w14:paraId="3CDCC69E" w14:textId="2D1113A0" w:rsidR="0012231C" w:rsidRPr="00526B42" w:rsidRDefault="0012231C" w:rsidP="0012231C">
      <w:pPr>
        <w:pStyle w:val="ListParagraph"/>
        <w:numPr>
          <w:ilvl w:val="0"/>
          <w:numId w:val="6"/>
        </w:numPr>
        <w:rPr>
          <w:rFonts w:cs="Arial"/>
        </w:rPr>
      </w:pPr>
      <w:r w:rsidRPr="00526B42">
        <w:rPr>
          <w:rFonts w:cs="Arial"/>
        </w:rPr>
        <w:t>People with lived experience hav</w:t>
      </w:r>
      <w:r w:rsidR="00FD0C13">
        <w:rPr>
          <w:rFonts w:cs="Arial"/>
        </w:rPr>
        <w:t>ing</w:t>
      </w:r>
      <w:r w:rsidRPr="00526B42">
        <w:rPr>
          <w:rFonts w:cs="Arial"/>
        </w:rPr>
        <w:t xml:space="preserve"> an active role in the delivery of the informed consent process.</w:t>
      </w:r>
    </w:p>
    <w:p w14:paraId="7CBC7CA7" w14:textId="032A9F05" w:rsidR="0012231C" w:rsidRPr="00526B42" w:rsidRDefault="0012231C" w:rsidP="0012231C">
      <w:pPr>
        <w:pStyle w:val="ListParagraph"/>
        <w:numPr>
          <w:ilvl w:val="0"/>
          <w:numId w:val="6"/>
        </w:numPr>
        <w:rPr>
          <w:rFonts w:cs="Arial"/>
        </w:rPr>
      </w:pPr>
      <w:r w:rsidRPr="00526B42">
        <w:rPr>
          <w:rFonts w:cs="Arial"/>
        </w:rPr>
        <w:t>Culturally competent research team members</w:t>
      </w:r>
      <w:r w:rsidR="0028111E">
        <w:rPr>
          <w:rFonts w:cs="Arial"/>
        </w:rPr>
        <w:t>,</w:t>
      </w:r>
      <w:r w:rsidR="00700CD4">
        <w:rPr>
          <w:rFonts w:cs="Arial"/>
        </w:rPr>
        <w:t xml:space="preserve"> fostering</w:t>
      </w:r>
      <w:r w:rsidRPr="00526B42">
        <w:rPr>
          <w:rFonts w:cs="Arial"/>
        </w:rPr>
        <w:t xml:space="preserve"> “specialist skills to connect”.</w:t>
      </w:r>
    </w:p>
    <w:p w14:paraId="66070A07" w14:textId="77777777" w:rsidR="0012231C" w:rsidRPr="00526B42" w:rsidRDefault="0012231C" w:rsidP="0012231C">
      <w:pPr>
        <w:pStyle w:val="ListParagraph"/>
        <w:numPr>
          <w:ilvl w:val="0"/>
          <w:numId w:val="6"/>
        </w:numPr>
        <w:rPr>
          <w:rFonts w:cs="Arial"/>
        </w:rPr>
      </w:pPr>
      <w:r w:rsidRPr="00526B42">
        <w:rPr>
          <w:rFonts w:cs="Arial"/>
        </w:rPr>
        <w:t>Focus on building trusting relationships and creating safe environments.</w:t>
      </w:r>
    </w:p>
    <w:p w14:paraId="37189605" w14:textId="77777777" w:rsidR="0012231C" w:rsidRPr="00526B42" w:rsidRDefault="0012231C" w:rsidP="0012231C">
      <w:pPr>
        <w:pStyle w:val="ListParagraph"/>
        <w:numPr>
          <w:ilvl w:val="0"/>
          <w:numId w:val="6"/>
        </w:numPr>
        <w:rPr>
          <w:rFonts w:cs="Arial"/>
        </w:rPr>
      </w:pPr>
      <w:r w:rsidRPr="00526B42">
        <w:rPr>
          <w:rFonts w:cs="Arial"/>
        </w:rPr>
        <w:t xml:space="preserve">Attention to reducing power imbalances during interactions. </w:t>
      </w:r>
    </w:p>
    <w:p w14:paraId="454011BC" w14:textId="152337A5" w:rsidR="0012231C" w:rsidRPr="00526B42" w:rsidRDefault="0012231C" w:rsidP="0012231C">
      <w:pPr>
        <w:rPr>
          <w:rFonts w:cs="Arial"/>
          <w:b/>
          <w:bCs/>
        </w:rPr>
      </w:pPr>
      <w:r w:rsidRPr="00526B42">
        <w:rPr>
          <w:rFonts w:cs="Arial"/>
          <w:b/>
          <w:bCs/>
        </w:rPr>
        <w:t xml:space="preserve">Principle 4: Prioritize choice and control over preferred information formats. High </w:t>
      </w:r>
      <w:r w:rsidR="00870FD6">
        <w:rPr>
          <w:rFonts w:cs="Arial"/>
          <w:b/>
          <w:bCs/>
        </w:rPr>
        <w:t>confidence in the</w:t>
      </w:r>
      <w:r w:rsidRPr="00526B42">
        <w:rPr>
          <w:rFonts w:cs="Arial"/>
          <w:b/>
          <w:bCs/>
        </w:rPr>
        <w:t xml:space="preserve"> evidence.</w:t>
      </w:r>
    </w:p>
    <w:p w14:paraId="7DBEDFD5" w14:textId="4FDA12BB" w:rsidR="00AB68E4" w:rsidRPr="00526B42" w:rsidRDefault="0012231C" w:rsidP="00AB68E4">
      <w:pPr>
        <w:rPr>
          <w:rFonts w:cs="Arial"/>
        </w:rPr>
      </w:pPr>
      <w:r w:rsidRPr="00526B42">
        <w:rPr>
          <w:rFonts w:cs="Arial"/>
        </w:rPr>
        <w:t xml:space="preserve">Eighteen studies contributed to this </w:t>
      </w:r>
      <w:r w:rsidR="00CA1F66" w:rsidRPr="00526B42">
        <w:rPr>
          <w:rFonts w:cs="Arial"/>
        </w:rPr>
        <w:t>P</w:t>
      </w:r>
      <w:r w:rsidRPr="00526B42">
        <w:rPr>
          <w:rFonts w:cs="Arial"/>
        </w:rPr>
        <w:t xml:space="preserve">rinciple (Table 3). </w:t>
      </w:r>
      <w:r w:rsidR="00AB68E4" w:rsidRPr="00C31B39">
        <w:rPr>
          <w:rFonts w:cs="Arial"/>
        </w:rPr>
        <w:t>Of the 18 studies contributing to this finding, 7 had moderate to major methodological concerns. However, these concerns were offset by high data adequacy, relevance, and coherence, resulting in an overall assessment of high confidence.</w:t>
      </w:r>
    </w:p>
    <w:p w14:paraId="45F543EB" w14:textId="1E9DDB07" w:rsidR="0012231C" w:rsidRPr="00526B42" w:rsidRDefault="0012231C" w:rsidP="0012231C">
      <w:pPr>
        <w:rPr>
          <w:rFonts w:cs="Arial"/>
        </w:rPr>
      </w:pPr>
      <w:r w:rsidRPr="00526B42">
        <w:rPr>
          <w:rFonts w:cs="Arial"/>
        </w:rPr>
        <w:t xml:space="preserve">Information in accessible language and multiple accessible formats provides an opportunity for active participation in the informed consent process. In all studies, except for Spehar et al (2016), various tailoring strategies were reported. Provision of study and consent materials in accessible formats include the option of large print, braille, audio recordings, accessible digital version for screen reader software, sign language recorded information, and the provision of assistive technology [overlap with </w:t>
      </w:r>
      <w:r w:rsidR="00CA1F66" w:rsidRPr="00526B42">
        <w:rPr>
          <w:rFonts w:cs="Arial"/>
        </w:rPr>
        <w:t>P</w:t>
      </w:r>
      <w:r w:rsidRPr="00526B42">
        <w:rPr>
          <w:rFonts w:cs="Arial"/>
        </w:rPr>
        <w:t xml:space="preserve">rinciple 6]. Exemplified by McGrath et al (2025), the process involves starting with a plain language document in clear and concise language, avoiding technical jargon, and organizing </w:t>
      </w:r>
      <w:r w:rsidR="008D57A4">
        <w:rPr>
          <w:rFonts w:cs="Arial"/>
        </w:rPr>
        <w:t xml:space="preserve">the content </w:t>
      </w:r>
      <w:r w:rsidRPr="00526B42">
        <w:rPr>
          <w:rFonts w:cs="Arial"/>
        </w:rPr>
        <w:t>in a logical manner</w:t>
      </w:r>
      <w:r w:rsidR="008D57A4">
        <w:rPr>
          <w:rFonts w:cs="Arial"/>
        </w:rPr>
        <w:t>. This</w:t>
      </w:r>
      <w:r w:rsidRPr="00526B42">
        <w:rPr>
          <w:rFonts w:cs="Arial"/>
        </w:rPr>
        <w:t xml:space="preserve"> provides the springboard for creating other accessible formats and translation into visual or tactile language.</w:t>
      </w:r>
    </w:p>
    <w:p w14:paraId="6D3B7A6A" w14:textId="13C9A729" w:rsidR="0012231C" w:rsidRPr="00526B42" w:rsidRDefault="0012231C" w:rsidP="0012231C">
      <w:pPr>
        <w:rPr>
          <w:rFonts w:cs="Arial"/>
        </w:rPr>
      </w:pPr>
      <w:r w:rsidRPr="00526B42">
        <w:rPr>
          <w:rFonts w:cs="Arial"/>
        </w:rPr>
        <w:t xml:space="preserve">Acceptability of accessible materials was reported by </w:t>
      </w:r>
      <w:r w:rsidR="00CD58C3" w:rsidRPr="00CD58C3">
        <w:rPr>
          <w:rFonts w:cs="Arial"/>
        </w:rPr>
        <w:t>Trujillo Tanner</w:t>
      </w:r>
      <w:r w:rsidRPr="00526B42">
        <w:rPr>
          <w:rFonts w:cs="Arial"/>
        </w:rPr>
        <w:t xml:space="preserve"> et al (201</w:t>
      </w:r>
      <w:r w:rsidR="00CD58C3">
        <w:rPr>
          <w:rFonts w:cs="Arial"/>
        </w:rPr>
        <w:t>8</w:t>
      </w:r>
      <w:r w:rsidRPr="00526B42">
        <w:rPr>
          <w:rFonts w:cs="Arial"/>
        </w:rPr>
        <w:t>), relating to engagement of people with</w:t>
      </w:r>
      <w:r w:rsidR="001A49DC">
        <w:rPr>
          <w:rFonts w:cs="Arial"/>
        </w:rPr>
        <w:t xml:space="preserve"> </w:t>
      </w:r>
      <w:r w:rsidRPr="00526B42">
        <w:rPr>
          <w:rFonts w:cs="Arial"/>
        </w:rPr>
        <w:t xml:space="preserve">vision impairment. In this study, print materials were provided in font size 18, one single typeface, no words in capitals or italics, </w:t>
      </w:r>
      <w:proofErr w:type="gramStart"/>
      <w:r w:rsidRPr="00526B42">
        <w:rPr>
          <w:rFonts w:cs="Arial"/>
        </w:rPr>
        <w:t>1.5 line</w:t>
      </w:r>
      <w:proofErr w:type="gramEnd"/>
      <w:r w:rsidRPr="00526B42">
        <w:rPr>
          <w:rFonts w:cs="Arial"/>
        </w:rPr>
        <w:t xml:space="preserve"> spacing, limited graphics [logo in header only with alternative text], and on off-white and low glare/reflective paper. Equally, acceptability of a culturally appropriate informed consent video and accompanying printed fact sheet has been demonstrated by Anderson et al (2020). Supporting this study are the results from Jaiswal et al (2020) and McGrath et al (2025) who report the use of visual aids and teaching of concepts through relatable examples to facilitate information exchange. For example, explaining concepts with analogies to things that are familiar to the person’s daily life.</w:t>
      </w:r>
    </w:p>
    <w:p w14:paraId="1DD431DE" w14:textId="77777777" w:rsidR="0012231C" w:rsidRDefault="0012231C" w:rsidP="0012231C">
      <w:pPr>
        <w:rPr>
          <w:rFonts w:cs="Arial"/>
        </w:rPr>
      </w:pPr>
      <w:r w:rsidRPr="00526B42">
        <w:rPr>
          <w:rFonts w:cs="Arial"/>
        </w:rPr>
        <w:t>Inaccessible information can lead to perceived consequences such as disengagement from the process (Garofalo et al., 2022; Sabatello et al., 2019), and a perceived lack of understanding of communication and information needs by providers (Williams, 2002). One study measured how providing accessible information could improve understanding of study concepts (McCaughey et al., 2016).</w:t>
      </w:r>
    </w:p>
    <w:p w14:paraId="7089C0C7" w14:textId="1AE64010" w:rsidR="0012231C" w:rsidRPr="00526B42" w:rsidRDefault="0012231C" w:rsidP="0012231C">
      <w:pPr>
        <w:rPr>
          <w:rFonts w:cs="Arial"/>
        </w:rPr>
      </w:pPr>
      <w:r w:rsidRPr="00526B42">
        <w:rPr>
          <w:rFonts w:cs="Arial"/>
        </w:rPr>
        <w:t xml:space="preserve">In summary, </w:t>
      </w:r>
      <w:r w:rsidR="00186D16" w:rsidRPr="00526B42">
        <w:rPr>
          <w:rFonts w:cs="Arial"/>
        </w:rPr>
        <w:t>P</w:t>
      </w:r>
      <w:r w:rsidRPr="00526B42">
        <w:rPr>
          <w:rFonts w:cs="Arial"/>
        </w:rPr>
        <w:t xml:space="preserve">rinciple </w:t>
      </w:r>
      <w:r w:rsidR="00186D16" w:rsidRPr="00526B42">
        <w:rPr>
          <w:rFonts w:cs="Arial"/>
        </w:rPr>
        <w:t xml:space="preserve">4 is demonstrated </w:t>
      </w:r>
      <w:r w:rsidRPr="00526B42">
        <w:rPr>
          <w:rFonts w:cs="Arial"/>
        </w:rPr>
        <w:t>when:</w:t>
      </w:r>
    </w:p>
    <w:p w14:paraId="6FB575CC" w14:textId="77777777" w:rsidR="0012231C" w:rsidRPr="00526B42" w:rsidRDefault="0012231C" w:rsidP="0012231C">
      <w:pPr>
        <w:pStyle w:val="ListParagraph"/>
        <w:numPr>
          <w:ilvl w:val="0"/>
          <w:numId w:val="7"/>
        </w:numPr>
        <w:rPr>
          <w:rFonts w:cs="Arial"/>
        </w:rPr>
      </w:pPr>
      <w:r w:rsidRPr="00526B42">
        <w:rPr>
          <w:rFonts w:cs="Arial"/>
        </w:rPr>
        <w:t>The Participant Information Sheet and Consent Form, and related documents, are offered in a range of co-designed multiple accessible formats (e.g., early co-design and ethics approved options based on above principles and steps taken to identify what are the most likely accessible formats required to meet a range of needs within that community).</w:t>
      </w:r>
    </w:p>
    <w:p w14:paraId="1F74F558" w14:textId="398C0702" w:rsidR="0012231C" w:rsidRPr="00526B42" w:rsidRDefault="00F80571" w:rsidP="0012231C">
      <w:pPr>
        <w:pStyle w:val="ListParagraph"/>
        <w:numPr>
          <w:ilvl w:val="0"/>
          <w:numId w:val="7"/>
        </w:numPr>
        <w:rPr>
          <w:rFonts w:cs="Arial"/>
        </w:rPr>
      </w:pPr>
      <w:r>
        <w:rPr>
          <w:rFonts w:cs="Arial"/>
        </w:rPr>
        <w:t xml:space="preserve">Offer alternate </w:t>
      </w:r>
      <w:r w:rsidR="00177F9F">
        <w:rPr>
          <w:rFonts w:cs="Arial"/>
        </w:rPr>
        <w:t>information</w:t>
      </w:r>
      <w:r w:rsidR="0012231C" w:rsidRPr="00526B42">
        <w:rPr>
          <w:rFonts w:cs="Arial"/>
        </w:rPr>
        <w:t xml:space="preserve"> formats </w:t>
      </w:r>
      <w:r w:rsidR="00177F9F">
        <w:rPr>
          <w:rFonts w:cs="Arial"/>
        </w:rPr>
        <w:t xml:space="preserve">which </w:t>
      </w:r>
      <w:r w:rsidR="0012231C" w:rsidRPr="00526B42">
        <w:rPr>
          <w:rFonts w:cs="Arial"/>
        </w:rPr>
        <w:t>may include large print, braille, audio, and sign (closed captions to toggle on/off as preferred), plain language, electronic (i.e., docx, html, rtf), version without graphics and icons, remove logos, remove check boxes.</w:t>
      </w:r>
    </w:p>
    <w:p w14:paraId="64F4E98A" w14:textId="1C072B05" w:rsidR="0012231C" w:rsidRPr="00526B42" w:rsidRDefault="00971AE3" w:rsidP="0012231C">
      <w:pPr>
        <w:pStyle w:val="ListParagraph"/>
        <w:numPr>
          <w:ilvl w:val="0"/>
          <w:numId w:val="7"/>
        </w:numPr>
        <w:rPr>
          <w:rFonts w:cs="Arial"/>
        </w:rPr>
      </w:pPr>
      <w:r w:rsidRPr="00526B42">
        <w:rPr>
          <w:rFonts w:cs="Arial"/>
        </w:rPr>
        <w:t>I</w:t>
      </w:r>
      <w:r w:rsidR="0012231C" w:rsidRPr="00526B42">
        <w:rPr>
          <w:rFonts w:cs="Arial"/>
        </w:rPr>
        <w:t>nformation formats</w:t>
      </w:r>
      <w:r w:rsidRPr="00526B42">
        <w:rPr>
          <w:rFonts w:cs="Arial"/>
        </w:rPr>
        <w:t xml:space="preserve"> are offered</w:t>
      </w:r>
      <w:r w:rsidR="0012231C" w:rsidRPr="00526B42">
        <w:rPr>
          <w:rFonts w:cs="Arial"/>
        </w:rPr>
        <w:t xml:space="preserve"> early to allow the participant to select preferred formats and then review information at their own pace to help prepare for the consent discussion. </w:t>
      </w:r>
    </w:p>
    <w:p w14:paraId="22B0324B" w14:textId="64EBD210" w:rsidR="0012231C" w:rsidRPr="00526B42" w:rsidRDefault="00FB6975" w:rsidP="0012231C">
      <w:pPr>
        <w:pStyle w:val="ListParagraph"/>
        <w:numPr>
          <w:ilvl w:val="0"/>
          <w:numId w:val="7"/>
        </w:numPr>
        <w:rPr>
          <w:rFonts w:cs="Arial"/>
        </w:rPr>
      </w:pPr>
      <w:r w:rsidRPr="00526B42">
        <w:rPr>
          <w:rFonts w:cs="Arial"/>
        </w:rPr>
        <w:t>I</w:t>
      </w:r>
      <w:r w:rsidR="0012231C" w:rsidRPr="00526B42">
        <w:rPr>
          <w:rFonts w:cs="Arial"/>
        </w:rPr>
        <w:t>nformation and communication</w:t>
      </w:r>
      <w:r w:rsidRPr="00526B42">
        <w:rPr>
          <w:rFonts w:cs="Arial"/>
        </w:rPr>
        <w:t xml:space="preserve"> </w:t>
      </w:r>
      <w:proofErr w:type="gramStart"/>
      <w:r w:rsidRPr="00526B42">
        <w:rPr>
          <w:rFonts w:cs="Arial"/>
        </w:rPr>
        <w:t>is</w:t>
      </w:r>
      <w:proofErr w:type="gramEnd"/>
      <w:r w:rsidR="0012231C" w:rsidRPr="00526B42">
        <w:rPr>
          <w:rFonts w:cs="Arial"/>
        </w:rPr>
        <w:t xml:space="preserve"> </w:t>
      </w:r>
      <w:r w:rsidR="000E1318">
        <w:rPr>
          <w:rFonts w:cs="Arial"/>
        </w:rPr>
        <w:t xml:space="preserve">provided </w:t>
      </w:r>
      <w:r w:rsidR="0012231C" w:rsidRPr="00526B42">
        <w:rPr>
          <w:rFonts w:cs="Arial"/>
        </w:rPr>
        <w:t xml:space="preserve">in the participant’s primary language including the participant information sheet and consent discussion. </w:t>
      </w:r>
    </w:p>
    <w:p w14:paraId="5C8634F2" w14:textId="4BF5A74D" w:rsidR="0012231C" w:rsidRPr="00526B42" w:rsidRDefault="0012231C" w:rsidP="0012231C">
      <w:pPr>
        <w:rPr>
          <w:rFonts w:cs="Arial"/>
          <w:b/>
          <w:bCs/>
        </w:rPr>
      </w:pPr>
      <w:r w:rsidRPr="00526B42">
        <w:rPr>
          <w:rFonts w:cs="Arial"/>
          <w:b/>
          <w:bCs/>
        </w:rPr>
        <w:t xml:space="preserve">Principle 5: Ensure research staff have the opportunity and ability to execute a tailored process to meet access needs. Moderate </w:t>
      </w:r>
      <w:r w:rsidR="00870FD6">
        <w:rPr>
          <w:rFonts w:cs="Arial"/>
          <w:b/>
          <w:bCs/>
        </w:rPr>
        <w:t xml:space="preserve">confidence in the </w:t>
      </w:r>
      <w:r w:rsidRPr="00526B42">
        <w:rPr>
          <w:rFonts w:cs="Arial"/>
          <w:b/>
          <w:bCs/>
        </w:rPr>
        <w:t>evidence.</w:t>
      </w:r>
    </w:p>
    <w:p w14:paraId="23AA0F9E" w14:textId="6A97B759" w:rsidR="0012231C" w:rsidRPr="00526B42" w:rsidRDefault="0012231C" w:rsidP="0012231C">
      <w:pPr>
        <w:rPr>
          <w:rFonts w:cs="Arial"/>
        </w:rPr>
      </w:pPr>
      <w:r w:rsidRPr="00526B42">
        <w:rPr>
          <w:rFonts w:cs="Arial"/>
        </w:rPr>
        <w:t xml:space="preserve">Six studies </w:t>
      </w:r>
      <w:r w:rsidR="00150A60">
        <w:rPr>
          <w:rFonts w:cs="Arial"/>
        </w:rPr>
        <w:t xml:space="preserve">contributed to this Principle and </w:t>
      </w:r>
      <w:r w:rsidRPr="00526B42">
        <w:rPr>
          <w:rFonts w:cs="Arial"/>
        </w:rPr>
        <w:t>highlighted that the informed consent process can be enhanced by culturally competent research staff. This includes disability awareness training and building foundational knowledge around effective engagement principles respecting cultural and linguistic diversity. Anderson et al (2020), is notable for profiling the process for creating an engaging education package for research staff with educators featured in core elements (e.g., the training video in sign language and in English with subtitles) being run by the Deaf community.</w:t>
      </w:r>
    </w:p>
    <w:p w14:paraId="4E25E2DC" w14:textId="0DCA3FE0" w:rsidR="0012231C" w:rsidRPr="00526B42" w:rsidRDefault="0012231C" w:rsidP="0012231C">
      <w:pPr>
        <w:rPr>
          <w:rFonts w:cs="Arial"/>
        </w:rPr>
      </w:pPr>
      <w:r w:rsidRPr="00526B42">
        <w:rPr>
          <w:rFonts w:cs="Arial"/>
        </w:rPr>
        <w:t>Jaiswal et al (2020) conducted a scoping review to understand experiences with participation, as well as formal training on various communication modes</w:t>
      </w:r>
      <w:r w:rsidR="00F86863" w:rsidRPr="00526B42">
        <w:rPr>
          <w:rFonts w:cs="Arial"/>
        </w:rPr>
        <w:t xml:space="preserve"> before commencing their study. </w:t>
      </w:r>
      <w:r w:rsidRPr="00526B42">
        <w:rPr>
          <w:rFonts w:cs="Arial"/>
        </w:rPr>
        <w:t xml:space="preserve">Another key strength of this study was their collaboration with community organizations. Following identification of access needs of the priority cohort, the lead author completed training provided by one of the agencies. This training enhanced </w:t>
      </w:r>
      <w:r w:rsidR="00700133" w:rsidRPr="00526B42">
        <w:rPr>
          <w:rFonts w:cs="Arial"/>
        </w:rPr>
        <w:t xml:space="preserve">the </w:t>
      </w:r>
      <w:r w:rsidRPr="00526B42">
        <w:rPr>
          <w:rFonts w:cs="Arial"/>
        </w:rPr>
        <w:t>researcher</w:t>
      </w:r>
      <w:r w:rsidR="00700133" w:rsidRPr="00526B42">
        <w:rPr>
          <w:rFonts w:cs="Arial"/>
        </w:rPr>
        <w:t>’</w:t>
      </w:r>
      <w:r w:rsidRPr="00526B42">
        <w:rPr>
          <w:rFonts w:cs="Arial"/>
        </w:rPr>
        <w:t>s understanding of different communication modes, which subsequently helped the adoption of strategies to reduce potential information and communication access barriers. Additionally, Watharow and Wayland (2022) raises the term “relational accessibility” which encompasses investing the time to foster relationships to better understand expressive and receptive language and communication abilities.</w:t>
      </w:r>
    </w:p>
    <w:p w14:paraId="1E7CF02F" w14:textId="67CF5621" w:rsidR="0012231C" w:rsidRPr="00526B42" w:rsidRDefault="00565033" w:rsidP="0012231C">
      <w:pPr>
        <w:rPr>
          <w:rFonts w:cs="Arial"/>
        </w:rPr>
      </w:pPr>
      <w:r w:rsidRPr="00526B42">
        <w:rPr>
          <w:rFonts w:cs="Arial"/>
        </w:rPr>
        <w:t>P</w:t>
      </w:r>
      <w:r w:rsidR="0012231C" w:rsidRPr="00526B42">
        <w:rPr>
          <w:rFonts w:cs="Arial"/>
        </w:rPr>
        <w:t xml:space="preserve">rinciple </w:t>
      </w:r>
      <w:r w:rsidRPr="00526B42">
        <w:rPr>
          <w:rFonts w:cs="Arial"/>
        </w:rPr>
        <w:t xml:space="preserve">5 </w:t>
      </w:r>
      <w:r w:rsidR="0012231C" w:rsidRPr="00526B42">
        <w:rPr>
          <w:rFonts w:cs="Arial"/>
        </w:rPr>
        <w:t>requires research staff</w:t>
      </w:r>
      <w:r w:rsidRPr="00526B42">
        <w:rPr>
          <w:rFonts w:cs="Arial"/>
        </w:rPr>
        <w:t xml:space="preserve"> to</w:t>
      </w:r>
      <w:r w:rsidR="0012231C" w:rsidRPr="00526B42">
        <w:rPr>
          <w:rFonts w:cs="Arial"/>
        </w:rPr>
        <w:t>:</w:t>
      </w:r>
    </w:p>
    <w:p w14:paraId="3A1701E2" w14:textId="77777777" w:rsidR="0012231C" w:rsidRPr="00526B42" w:rsidRDefault="0012231C" w:rsidP="0012231C">
      <w:pPr>
        <w:pStyle w:val="ListParagraph"/>
        <w:numPr>
          <w:ilvl w:val="0"/>
          <w:numId w:val="8"/>
        </w:numPr>
        <w:rPr>
          <w:rFonts w:cs="Arial"/>
        </w:rPr>
      </w:pPr>
      <w:r w:rsidRPr="00526B42">
        <w:rPr>
          <w:rFonts w:cs="Arial"/>
        </w:rPr>
        <w:t>Address gaps in knowledge and skills through education and training as required.</w:t>
      </w:r>
    </w:p>
    <w:p w14:paraId="1FB00788" w14:textId="77777777" w:rsidR="0012231C" w:rsidRPr="00526B42" w:rsidRDefault="0012231C" w:rsidP="0012231C">
      <w:pPr>
        <w:pStyle w:val="ListParagraph"/>
        <w:numPr>
          <w:ilvl w:val="0"/>
          <w:numId w:val="8"/>
        </w:numPr>
        <w:rPr>
          <w:rFonts w:cs="Arial"/>
        </w:rPr>
      </w:pPr>
      <w:r w:rsidRPr="00526B42">
        <w:rPr>
          <w:rFonts w:cs="Arial"/>
        </w:rPr>
        <w:t>Develop “relational accessibility” to ensure that the person is treated with respect and dignity irrespective of their decision to participate or offer consent.</w:t>
      </w:r>
    </w:p>
    <w:p w14:paraId="45907095" w14:textId="2A200B11" w:rsidR="004F10C5" w:rsidRPr="00526B42" w:rsidRDefault="007603BC" w:rsidP="0012231C">
      <w:pPr>
        <w:pStyle w:val="ListParagraph"/>
        <w:numPr>
          <w:ilvl w:val="0"/>
          <w:numId w:val="8"/>
        </w:numPr>
        <w:rPr>
          <w:rFonts w:cs="Arial"/>
        </w:rPr>
      </w:pPr>
      <w:r>
        <w:rPr>
          <w:rFonts w:cs="Arial"/>
        </w:rPr>
        <w:t>Demonstrate o</w:t>
      </w:r>
      <w:r w:rsidR="004F10C5" w:rsidRPr="00526B42">
        <w:rPr>
          <w:rFonts w:cs="Arial"/>
        </w:rPr>
        <w:t xml:space="preserve">rganizational leadership to foster continued skills development </w:t>
      </w:r>
      <w:r w:rsidR="00462D22" w:rsidRPr="00526B42">
        <w:rPr>
          <w:rFonts w:cs="Arial"/>
        </w:rPr>
        <w:t>and professional development of staff, with collaboration of stakeholders</w:t>
      </w:r>
      <w:r w:rsidR="007B09BB" w:rsidRPr="00526B42">
        <w:rPr>
          <w:rFonts w:cs="Arial"/>
        </w:rPr>
        <w:t xml:space="preserve"> (e.g., </w:t>
      </w:r>
      <w:r w:rsidR="00CB65A3" w:rsidRPr="00526B42">
        <w:rPr>
          <w:rFonts w:cs="Arial"/>
        </w:rPr>
        <w:t>communication and accessibility</w:t>
      </w:r>
      <w:r w:rsidR="007B09BB" w:rsidRPr="00526B42">
        <w:rPr>
          <w:rFonts w:cs="Arial"/>
        </w:rPr>
        <w:t xml:space="preserve"> </w:t>
      </w:r>
      <w:r w:rsidR="00CB65A3" w:rsidRPr="00526B42">
        <w:rPr>
          <w:rFonts w:cs="Arial"/>
        </w:rPr>
        <w:t xml:space="preserve">component </w:t>
      </w:r>
      <w:r w:rsidR="007B09BB" w:rsidRPr="00526B42">
        <w:rPr>
          <w:rFonts w:cs="Arial"/>
        </w:rPr>
        <w:t>in GCP training).</w:t>
      </w:r>
    </w:p>
    <w:p w14:paraId="3F1DAA5F" w14:textId="2A5559B4" w:rsidR="0012231C" w:rsidRPr="00526B42" w:rsidRDefault="0012231C" w:rsidP="0012231C">
      <w:pPr>
        <w:rPr>
          <w:rFonts w:cs="Arial"/>
          <w:b/>
          <w:bCs/>
        </w:rPr>
      </w:pPr>
      <w:r w:rsidRPr="00526B42">
        <w:rPr>
          <w:rFonts w:cs="Arial"/>
          <w:b/>
          <w:bCs/>
        </w:rPr>
        <w:t xml:space="preserve">Principle 6: Ensure requisite resourcing to support the delivery of an accessible and equitable process to meet access needs. Moderate </w:t>
      </w:r>
      <w:r w:rsidR="00870FD6">
        <w:rPr>
          <w:rFonts w:cs="Arial"/>
          <w:b/>
          <w:bCs/>
        </w:rPr>
        <w:t xml:space="preserve">confidence in the </w:t>
      </w:r>
      <w:r w:rsidRPr="00526B42">
        <w:rPr>
          <w:rFonts w:cs="Arial"/>
          <w:b/>
          <w:bCs/>
        </w:rPr>
        <w:t>evidence.</w:t>
      </w:r>
    </w:p>
    <w:p w14:paraId="10B8C308" w14:textId="3BEBD712" w:rsidR="00110398" w:rsidRPr="0009235A" w:rsidRDefault="00110398" w:rsidP="00110398">
      <w:pPr>
        <w:rPr>
          <w:rFonts w:cs="Arial"/>
        </w:rPr>
      </w:pPr>
      <w:r>
        <w:rPr>
          <w:rFonts w:cs="Arial"/>
        </w:rPr>
        <w:t>Eleven</w:t>
      </w:r>
      <w:r w:rsidRPr="0009235A">
        <w:rPr>
          <w:rFonts w:cs="Arial"/>
        </w:rPr>
        <w:t xml:space="preserve"> studies contributed to this </w:t>
      </w:r>
      <w:r w:rsidR="00400F68">
        <w:rPr>
          <w:rFonts w:cs="Arial"/>
        </w:rPr>
        <w:t>Principle (Table 3). Of these,</w:t>
      </w:r>
      <w:r w:rsidRPr="0009235A">
        <w:rPr>
          <w:rFonts w:cs="Arial"/>
        </w:rPr>
        <w:t xml:space="preserve"> 7 had moderate to major methodological concerns. Despite high data adequacy and moderate relevance and coherence, these methodological limitations reduced the overall assessment to moderate confidence.</w:t>
      </w:r>
    </w:p>
    <w:p w14:paraId="701DE0AA" w14:textId="3CFFF2D6" w:rsidR="0012231C" w:rsidRDefault="0006470B" w:rsidP="0012231C">
      <w:pPr>
        <w:rPr>
          <w:rFonts w:cs="Arial"/>
        </w:rPr>
      </w:pPr>
      <w:r>
        <w:rPr>
          <w:rFonts w:cs="Arial"/>
        </w:rPr>
        <w:t>All</w:t>
      </w:r>
      <w:r w:rsidRPr="00526B42">
        <w:rPr>
          <w:rFonts w:cs="Arial"/>
        </w:rPr>
        <w:t xml:space="preserve"> </w:t>
      </w:r>
      <w:r w:rsidR="0012231C" w:rsidRPr="00526B42">
        <w:rPr>
          <w:rFonts w:cs="Arial"/>
        </w:rPr>
        <w:t xml:space="preserve">studies highlighted </w:t>
      </w:r>
      <w:r w:rsidR="009068A0">
        <w:rPr>
          <w:rFonts w:cs="Arial"/>
        </w:rPr>
        <w:t xml:space="preserve">the importance of </w:t>
      </w:r>
      <w:r w:rsidR="0012231C" w:rsidRPr="00526B42">
        <w:rPr>
          <w:rFonts w:cs="Arial"/>
        </w:rPr>
        <w:t>early planning and budgeting for resources</w:t>
      </w:r>
      <w:r w:rsidR="00691FC8">
        <w:rPr>
          <w:rFonts w:cs="Arial"/>
        </w:rPr>
        <w:t>,</w:t>
      </w:r>
      <w:r w:rsidR="0012231C" w:rsidRPr="00526B42">
        <w:rPr>
          <w:rFonts w:cs="Arial"/>
        </w:rPr>
        <w:t xml:space="preserve"> includ</w:t>
      </w:r>
      <w:r w:rsidR="00691FC8">
        <w:rPr>
          <w:rFonts w:cs="Arial"/>
        </w:rPr>
        <w:t>ing</w:t>
      </w:r>
      <w:r w:rsidR="0012231C" w:rsidRPr="00526B42">
        <w:rPr>
          <w:rFonts w:cs="Arial"/>
        </w:rPr>
        <w:t xml:space="preserve"> offering assistive technology and devices to access information during the informed consent discussion. This could include iPad devices, screen reader software, hearing induction loops, captioning software, and tactile devices. These are specific modes to enhancing communication and provide a variety of ways for potential participants to receive and express communication in their preferred language. Skilton et al (2018) highlights a good example of addressing this </w:t>
      </w:r>
      <w:r w:rsidR="00A7046B" w:rsidRPr="00526B42">
        <w:rPr>
          <w:rFonts w:cs="Arial"/>
        </w:rPr>
        <w:t>P</w:t>
      </w:r>
      <w:r w:rsidR="0012231C" w:rsidRPr="00526B42">
        <w:rPr>
          <w:rFonts w:cs="Arial"/>
        </w:rPr>
        <w:t xml:space="preserve">rinciple in relation to room orientation and positioning of staff to ensure they are within a person’s visual field. </w:t>
      </w:r>
      <w:r w:rsidR="007D16D2" w:rsidRPr="00526B42">
        <w:rPr>
          <w:rFonts w:cs="Arial"/>
        </w:rPr>
        <w:t>This P</w:t>
      </w:r>
      <w:r w:rsidR="0012231C" w:rsidRPr="00526B42">
        <w:rPr>
          <w:rFonts w:cs="Arial"/>
        </w:rPr>
        <w:t xml:space="preserve">rinciple also recognizes the requirement for multiple sign and tactile language interpreters to be present during a consultation to allow for break periods. Dedicated funding and an investment in equipment to allow for assistive technology access is required and necessitates early budget planning and allocation. </w:t>
      </w:r>
    </w:p>
    <w:p w14:paraId="4540D803" w14:textId="4AA65CCD" w:rsidR="0012231C" w:rsidRPr="00526B42" w:rsidRDefault="0012231C" w:rsidP="0012231C">
      <w:pPr>
        <w:rPr>
          <w:rFonts w:cs="Arial"/>
        </w:rPr>
      </w:pPr>
      <w:r w:rsidRPr="00526B42">
        <w:rPr>
          <w:rFonts w:cs="Arial"/>
        </w:rPr>
        <w:t xml:space="preserve">In summary, </w:t>
      </w:r>
      <w:r w:rsidR="007D16D2" w:rsidRPr="00526B42">
        <w:rPr>
          <w:rFonts w:cs="Arial"/>
        </w:rPr>
        <w:t>P</w:t>
      </w:r>
      <w:r w:rsidRPr="00526B42">
        <w:rPr>
          <w:rFonts w:cs="Arial"/>
        </w:rPr>
        <w:t xml:space="preserve">rinciple </w:t>
      </w:r>
      <w:r w:rsidR="007D16D2" w:rsidRPr="00526B42">
        <w:rPr>
          <w:rFonts w:cs="Arial"/>
        </w:rPr>
        <w:t xml:space="preserve">6 </w:t>
      </w:r>
      <w:r w:rsidRPr="00526B42">
        <w:rPr>
          <w:rFonts w:cs="Arial"/>
        </w:rPr>
        <w:t>requires:</w:t>
      </w:r>
    </w:p>
    <w:p w14:paraId="63ABC779" w14:textId="77777777" w:rsidR="0012231C" w:rsidRPr="00526B42" w:rsidRDefault="0012231C" w:rsidP="0012231C">
      <w:pPr>
        <w:pStyle w:val="ListParagraph"/>
        <w:numPr>
          <w:ilvl w:val="0"/>
          <w:numId w:val="9"/>
        </w:numPr>
        <w:rPr>
          <w:rFonts w:cs="Arial"/>
        </w:rPr>
      </w:pPr>
      <w:r w:rsidRPr="00526B42">
        <w:rPr>
          <w:rFonts w:cs="Arial"/>
        </w:rPr>
        <w:t>Access to a full range of adaptive and assistive technology during the informed consent visit.</w:t>
      </w:r>
    </w:p>
    <w:p w14:paraId="50106BBC" w14:textId="77777777" w:rsidR="0012231C" w:rsidRPr="00526B42" w:rsidRDefault="0012231C" w:rsidP="0012231C">
      <w:pPr>
        <w:pStyle w:val="ListParagraph"/>
        <w:numPr>
          <w:ilvl w:val="0"/>
          <w:numId w:val="9"/>
        </w:numPr>
        <w:rPr>
          <w:rFonts w:cs="Arial"/>
        </w:rPr>
      </w:pPr>
      <w:r w:rsidRPr="00526B42">
        <w:rPr>
          <w:rFonts w:cs="Arial"/>
        </w:rPr>
        <w:t>Adequate or additional time allowed so people don’t feel rushed and there is opportunity for time to receive and respond to information.</w:t>
      </w:r>
    </w:p>
    <w:p w14:paraId="2101F207" w14:textId="77777777" w:rsidR="0012231C" w:rsidRPr="00526B42" w:rsidRDefault="0012231C" w:rsidP="0012231C">
      <w:pPr>
        <w:pStyle w:val="ListParagraph"/>
        <w:numPr>
          <w:ilvl w:val="0"/>
          <w:numId w:val="9"/>
        </w:numPr>
        <w:rPr>
          <w:rFonts w:cs="Arial"/>
        </w:rPr>
      </w:pPr>
      <w:r w:rsidRPr="00526B42">
        <w:rPr>
          <w:rFonts w:cs="Arial"/>
        </w:rPr>
        <w:t>Provision of equipment such as induction hearing loop, and devices to access assistive technology.</w:t>
      </w:r>
    </w:p>
    <w:p w14:paraId="62AEAB24" w14:textId="77777777" w:rsidR="0012231C" w:rsidRPr="00526B42" w:rsidRDefault="0012231C" w:rsidP="0012231C">
      <w:pPr>
        <w:pStyle w:val="ListParagraph"/>
        <w:numPr>
          <w:ilvl w:val="0"/>
          <w:numId w:val="9"/>
        </w:numPr>
        <w:rPr>
          <w:rFonts w:cs="Arial"/>
        </w:rPr>
      </w:pPr>
      <w:r w:rsidRPr="00526B42">
        <w:rPr>
          <w:rFonts w:cs="Arial"/>
        </w:rPr>
        <w:t>Adequate budget and access to experienced sign language interpreters.</w:t>
      </w:r>
    </w:p>
    <w:p w14:paraId="61E8718C" w14:textId="77777777" w:rsidR="0012231C" w:rsidRPr="00526B42" w:rsidRDefault="0012231C" w:rsidP="0012231C">
      <w:pPr>
        <w:pStyle w:val="ListParagraph"/>
        <w:numPr>
          <w:ilvl w:val="0"/>
          <w:numId w:val="9"/>
        </w:numPr>
        <w:rPr>
          <w:rFonts w:cs="Arial"/>
        </w:rPr>
      </w:pPr>
      <w:r w:rsidRPr="00526B42">
        <w:rPr>
          <w:rFonts w:cs="Arial"/>
        </w:rPr>
        <w:t>Private spaces in which to engage and exchange information.</w:t>
      </w:r>
    </w:p>
    <w:p w14:paraId="2D58F029" w14:textId="56932077" w:rsidR="0012231C" w:rsidRPr="00526B42" w:rsidRDefault="0012231C" w:rsidP="0012231C">
      <w:pPr>
        <w:rPr>
          <w:rFonts w:cs="Arial"/>
          <w:b/>
          <w:bCs/>
        </w:rPr>
      </w:pPr>
      <w:r w:rsidRPr="00526B42">
        <w:rPr>
          <w:rFonts w:cs="Arial"/>
          <w:b/>
          <w:bCs/>
        </w:rPr>
        <w:t xml:space="preserve">Principle 7: Enable agency in consent options. Low </w:t>
      </w:r>
      <w:r w:rsidR="00870FD6">
        <w:rPr>
          <w:rFonts w:cs="Arial"/>
          <w:b/>
          <w:bCs/>
        </w:rPr>
        <w:t>confidence in the</w:t>
      </w:r>
      <w:r w:rsidRPr="00526B42">
        <w:rPr>
          <w:rFonts w:cs="Arial"/>
          <w:b/>
          <w:bCs/>
        </w:rPr>
        <w:t xml:space="preserve"> evidence.</w:t>
      </w:r>
    </w:p>
    <w:p w14:paraId="167FC166" w14:textId="379A26A2" w:rsidR="007B38D4" w:rsidRDefault="0012231C" w:rsidP="0012231C">
      <w:pPr>
        <w:rPr>
          <w:rFonts w:cs="Arial"/>
        </w:rPr>
      </w:pPr>
      <w:r w:rsidRPr="00526B42">
        <w:rPr>
          <w:rFonts w:cs="Arial"/>
        </w:rPr>
        <w:t xml:space="preserve">Nine studies contributed to this </w:t>
      </w:r>
      <w:r w:rsidR="00573CE0" w:rsidRPr="00526B42">
        <w:rPr>
          <w:rFonts w:cs="Arial"/>
        </w:rPr>
        <w:t>P</w:t>
      </w:r>
      <w:r w:rsidRPr="00526B42">
        <w:rPr>
          <w:rFonts w:cs="Arial"/>
        </w:rPr>
        <w:t xml:space="preserve">rinciple (Table 3). </w:t>
      </w:r>
      <w:r w:rsidR="007B38D4" w:rsidRPr="00526B42">
        <w:rPr>
          <w:rFonts w:cs="Arial"/>
        </w:rPr>
        <w:t>The low level of evidence supporting Principle 7 stems from the lack of evidence around the acceptability of varied consent options by participant</w:t>
      </w:r>
      <w:r w:rsidR="0004038D">
        <w:rPr>
          <w:rFonts w:cs="Arial"/>
        </w:rPr>
        <w:t>s</w:t>
      </w:r>
      <w:r w:rsidR="007B38D4" w:rsidRPr="00526B42">
        <w:rPr>
          <w:rFonts w:cs="Arial"/>
        </w:rPr>
        <w:t xml:space="preserve"> or recipients. Studies postulated the anticipated benefits for recipients, however, did not measure effectiveness or outcomes from implementing adaptable consent strategies. Outcomes such as acceptability, empowerment, agency, satisfaction and level of understanding [pre/post consent process] were largely lacking.</w:t>
      </w:r>
    </w:p>
    <w:p w14:paraId="480228BD" w14:textId="23DAA885" w:rsidR="0012231C" w:rsidRPr="00526B42" w:rsidRDefault="00EE1956" w:rsidP="0012231C">
      <w:pPr>
        <w:rPr>
          <w:rFonts w:cs="Arial"/>
        </w:rPr>
      </w:pPr>
      <w:r w:rsidRPr="00526B42">
        <w:rPr>
          <w:rFonts w:cs="Arial"/>
        </w:rPr>
        <w:t>P</w:t>
      </w:r>
      <w:r w:rsidR="0012231C" w:rsidRPr="00526B42">
        <w:rPr>
          <w:rFonts w:cs="Arial"/>
        </w:rPr>
        <w:t>articipant</w:t>
      </w:r>
      <w:r w:rsidRPr="00526B42">
        <w:rPr>
          <w:rFonts w:cs="Arial"/>
        </w:rPr>
        <w:t>s should have</w:t>
      </w:r>
      <w:r w:rsidR="0012231C" w:rsidRPr="00526B42">
        <w:rPr>
          <w:rFonts w:cs="Arial"/>
        </w:rPr>
        <w:t xml:space="preserve"> choice and control in how consent is offered. </w:t>
      </w:r>
      <w:r w:rsidRPr="00526B42">
        <w:rPr>
          <w:rFonts w:cs="Arial"/>
        </w:rPr>
        <w:t>Flexible designs</w:t>
      </w:r>
      <w:r w:rsidR="0012231C" w:rsidRPr="00526B42">
        <w:rPr>
          <w:rFonts w:cs="Arial"/>
        </w:rPr>
        <w:t xml:space="preserve"> to allow </w:t>
      </w:r>
      <w:r w:rsidR="003A133D" w:rsidRPr="00526B42">
        <w:rPr>
          <w:rFonts w:cs="Arial"/>
        </w:rPr>
        <w:t xml:space="preserve">for </w:t>
      </w:r>
      <w:r w:rsidR="0012231C" w:rsidRPr="00526B42">
        <w:rPr>
          <w:rFonts w:cs="Arial"/>
        </w:rPr>
        <w:t xml:space="preserve">varied methods to document informed consent such as verbal, audio recorded, written, and video observation of behavioural responses. The default should not be proxy consent, with the strong recommendation that every effort be made by staff who conduct consent procedures to enable autonomy in information access, independent decision making, and consent provision. Whilst some authors indicated proxy consent or a witness to the consent process is useful (Kim &amp; Sutharson, 2022; Kushalnagar et al., 2023), others firmly indicated that these situations arise because of a failure to adequately offer an equitable process (Kushalnagar et al., 2023; Trujillo Tanner et al., 2018). </w:t>
      </w:r>
    </w:p>
    <w:p w14:paraId="15E1BE51" w14:textId="05357139" w:rsidR="0012231C" w:rsidRPr="00526B42" w:rsidRDefault="0012231C" w:rsidP="0012231C">
      <w:pPr>
        <w:rPr>
          <w:rFonts w:cs="Arial"/>
        </w:rPr>
      </w:pPr>
      <w:r w:rsidRPr="00526B42">
        <w:rPr>
          <w:rFonts w:cs="Arial"/>
        </w:rPr>
        <w:t xml:space="preserve">Under this </w:t>
      </w:r>
      <w:r w:rsidR="00573CE0" w:rsidRPr="00526B42">
        <w:rPr>
          <w:rFonts w:cs="Arial"/>
        </w:rPr>
        <w:t>P</w:t>
      </w:r>
      <w:r w:rsidRPr="00526B42">
        <w:rPr>
          <w:rFonts w:cs="Arial"/>
        </w:rPr>
        <w:t xml:space="preserve">rinciple, and in the clinical research context, building flexibility into the research protocol to allow for the successful implementation of accommodations is required. For example, lengthening the duration of the informed consent session to allow sufficient time for research staff to elaborate on each section of the informed consent form, frequent ‘check-ins’ and adequate time to permit interpreter clarifications. Repeat check-ins to confirm willingness to participate is important to allow an opportunity to confirm understanding of the information.  This recognizes that as more information is absorbed and understood, decisions can alter (Roy et al., 2018; Trujillo Tanner et al., 2018; Watharow &amp; Wayland, 2022). Wittich et al (2023) articulated various ways to record consent. In this article, it was recommended to routinely offer verbal, written and recorded consent. </w:t>
      </w:r>
    </w:p>
    <w:p w14:paraId="3FD5F50D" w14:textId="126E4F55" w:rsidR="0012231C" w:rsidRPr="00526B42" w:rsidRDefault="0012231C" w:rsidP="0012231C">
      <w:pPr>
        <w:rPr>
          <w:rFonts w:cs="Arial"/>
        </w:rPr>
      </w:pPr>
      <w:r w:rsidRPr="00526B42">
        <w:rPr>
          <w:rFonts w:cs="Arial"/>
        </w:rPr>
        <w:t xml:space="preserve">In summary, this </w:t>
      </w:r>
      <w:r w:rsidR="00F1323C" w:rsidRPr="00526B42">
        <w:rPr>
          <w:rFonts w:cs="Arial"/>
        </w:rPr>
        <w:t>P</w:t>
      </w:r>
      <w:r w:rsidRPr="00526B42">
        <w:rPr>
          <w:rFonts w:cs="Arial"/>
        </w:rPr>
        <w:t xml:space="preserve">rinciple </w:t>
      </w:r>
      <w:r w:rsidR="009E6F28" w:rsidRPr="00526B42">
        <w:rPr>
          <w:rFonts w:cs="Arial"/>
        </w:rPr>
        <w:t xml:space="preserve">7 </w:t>
      </w:r>
      <w:r w:rsidRPr="00526B42">
        <w:rPr>
          <w:rFonts w:cs="Arial"/>
        </w:rPr>
        <w:t>requires:</w:t>
      </w:r>
    </w:p>
    <w:p w14:paraId="0E26CCAA" w14:textId="77777777" w:rsidR="0012231C" w:rsidRPr="00526B42" w:rsidRDefault="0012231C" w:rsidP="0012231C">
      <w:pPr>
        <w:pStyle w:val="ListParagraph"/>
        <w:numPr>
          <w:ilvl w:val="0"/>
          <w:numId w:val="10"/>
        </w:numPr>
        <w:rPr>
          <w:rFonts w:cs="Arial"/>
        </w:rPr>
      </w:pPr>
      <w:r w:rsidRPr="00526B42">
        <w:rPr>
          <w:rFonts w:cs="Arial"/>
        </w:rPr>
        <w:t>Avoidance of proxy consent with deliberate actions to foster equity and autonomy in the process of offering formal consent to participate.</w:t>
      </w:r>
    </w:p>
    <w:p w14:paraId="0186608A" w14:textId="77777777" w:rsidR="0012231C" w:rsidRPr="00526B42" w:rsidRDefault="0012231C" w:rsidP="0012231C">
      <w:pPr>
        <w:pStyle w:val="ListParagraph"/>
        <w:numPr>
          <w:ilvl w:val="0"/>
          <w:numId w:val="10"/>
        </w:numPr>
        <w:rPr>
          <w:rFonts w:cs="Arial"/>
        </w:rPr>
      </w:pPr>
      <w:r w:rsidRPr="00526B42">
        <w:rPr>
          <w:rFonts w:cs="Arial"/>
        </w:rPr>
        <w:t>Steps taken to ensure accessibility and flexibility in the way participants may provide consent.</w:t>
      </w:r>
    </w:p>
    <w:p w14:paraId="1B324C40" w14:textId="77777777" w:rsidR="0012231C" w:rsidRPr="00526B42" w:rsidRDefault="0012231C" w:rsidP="0012231C">
      <w:pPr>
        <w:pStyle w:val="ListParagraph"/>
        <w:numPr>
          <w:ilvl w:val="0"/>
          <w:numId w:val="10"/>
        </w:numPr>
        <w:rPr>
          <w:rFonts w:cs="Arial"/>
        </w:rPr>
      </w:pPr>
      <w:r w:rsidRPr="00526B42">
        <w:rPr>
          <w:rFonts w:cs="Arial"/>
        </w:rPr>
        <w:t>Repeat check-ins to confirm consent.</w:t>
      </w:r>
    </w:p>
    <w:p w14:paraId="73A3FCFA" w14:textId="2FC8EC85" w:rsidR="0012231C" w:rsidRPr="00526B42" w:rsidRDefault="0012231C" w:rsidP="0012231C">
      <w:pPr>
        <w:rPr>
          <w:rFonts w:cs="Arial"/>
          <w:b/>
          <w:bCs/>
        </w:rPr>
      </w:pPr>
      <w:r w:rsidRPr="00526B42">
        <w:rPr>
          <w:rFonts w:cs="Arial"/>
          <w:b/>
          <w:bCs/>
        </w:rPr>
        <w:t xml:space="preserve">Principle 8: Recognize and respond to the heterogeneity within the community/cohort. Low </w:t>
      </w:r>
      <w:r w:rsidR="00870FD6">
        <w:rPr>
          <w:rFonts w:cs="Arial"/>
          <w:b/>
          <w:bCs/>
        </w:rPr>
        <w:t>confidence in the</w:t>
      </w:r>
      <w:r w:rsidRPr="00526B42">
        <w:rPr>
          <w:rFonts w:cs="Arial"/>
          <w:b/>
          <w:bCs/>
        </w:rPr>
        <w:t xml:space="preserve"> evidence.</w:t>
      </w:r>
    </w:p>
    <w:p w14:paraId="7D39E28F" w14:textId="3FE5A405" w:rsidR="00946E29" w:rsidRPr="00946E29" w:rsidRDefault="0012231C" w:rsidP="00946E29">
      <w:pPr>
        <w:rPr>
          <w:rFonts w:cs="Arial"/>
        </w:rPr>
      </w:pPr>
      <w:r w:rsidRPr="00526B42">
        <w:rPr>
          <w:rFonts w:cs="Arial"/>
        </w:rPr>
        <w:t xml:space="preserve">Five studies supported this </w:t>
      </w:r>
      <w:r w:rsidR="00FA3F9D">
        <w:rPr>
          <w:rFonts w:cs="Arial"/>
        </w:rPr>
        <w:t>P</w:t>
      </w:r>
      <w:r w:rsidRPr="00526B42">
        <w:rPr>
          <w:rFonts w:cs="Arial"/>
        </w:rPr>
        <w:t>rinciple</w:t>
      </w:r>
      <w:r w:rsidR="00B70B8D">
        <w:rPr>
          <w:rFonts w:cs="Arial"/>
        </w:rPr>
        <w:t>,</w:t>
      </w:r>
      <w:r w:rsidRPr="00526B42">
        <w:rPr>
          <w:rFonts w:cs="Arial"/>
        </w:rPr>
        <w:t xml:space="preserve"> which was </w:t>
      </w:r>
      <w:r w:rsidR="003872FA">
        <w:rPr>
          <w:rFonts w:cs="Arial"/>
        </w:rPr>
        <w:t xml:space="preserve">particularly emphasized </w:t>
      </w:r>
      <w:r w:rsidRPr="00526B42">
        <w:rPr>
          <w:rFonts w:cs="Arial"/>
        </w:rPr>
        <w:t xml:space="preserve">by studies involving the Deafblind community (Table 3). </w:t>
      </w:r>
      <w:r w:rsidR="00946E29" w:rsidRPr="00946E29">
        <w:rPr>
          <w:rFonts w:cs="Arial"/>
        </w:rPr>
        <w:t>The limited number of contributing studies reduced data adequacy, which was considered sufficient to lower confidence despite strong relevance and conceptual alignment across studies.</w:t>
      </w:r>
    </w:p>
    <w:p w14:paraId="752D0455" w14:textId="3043A9E7" w:rsidR="0012231C" w:rsidRPr="00526B42" w:rsidRDefault="00D61022" w:rsidP="0012231C">
      <w:pPr>
        <w:rPr>
          <w:rFonts w:cs="Arial"/>
        </w:rPr>
      </w:pPr>
      <w:r w:rsidRPr="00D61022">
        <w:rPr>
          <w:rFonts w:cs="Arial"/>
        </w:rPr>
        <w:t xml:space="preserve">Although the available data were conceptually consistent, the relatively small evidence base limited confidence in the robustness of this </w:t>
      </w:r>
      <w:r w:rsidR="00FF6003">
        <w:rPr>
          <w:rFonts w:cs="Arial"/>
        </w:rPr>
        <w:t>review finding</w:t>
      </w:r>
      <w:r w:rsidR="00EB28C5">
        <w:rPr>
          <w:rFonts w:cs="Arial"/>
        </w:rPr>
        <w:t xml:space="preserve"> (Principle 8)</w:t>
      </w:r>
      <w:r>
        <w:rPr>
          <w:rFonts w:cs="Arial"/>
        </w:rPr>
        <w:t xml:space="preserve">. </w:t>
      </w:r>
      <w:r w:rsidR="00727708">
        <w:rPr>
          <w:rFonts w:cs="Arial"/>
        </w:rPr>
        <w:t>A</w:t>
      </w:r>
      <w:r w:rsidR="00F665F1">
        <w:rPr>
          <w:rFonts w:cs="Arial"/>
        </w:rPr>
        <w:t>cross</w:t>
      </w:r>
      <w:r w:rsidR="00651DFD">
        <w:rPr>
          <w:rFonts w:cs="Arial"/>
        </w:rPr>
        <w:t xml:space="preserve"> the contributing studies, </w:t>
      </w:r>
      <w:r w:rsidR="00727708">
        <w:rPr>
          <w:rFonts w:cs="Arial"/>
        </w:rPr>
        <w:t xml:space="preserve">however, </w:t>
      </w:r>
      <w:r w:rsidR="00651DFD">
        <w:rPr>
          <w:rFonts w:cs="Arial"/>
        </w:rPr>
        <w:t>t</w:t>
      </w:r>
      <w:r w:rsidR="00E64992">
        <w:rPr>
          <w:rFonts w:cs="Arial"/>
        </w:rPr>
        <w:t>here was a clear the</w:t>
      </w:r>
      <w:r w:rsidR="00F665F1">
        <w:rPr>
          <w:rFonts w:cs="Arial"/>
        </w:rPr>
        <w:t xml:space="preserve">me </w:t>
      </w:r>
      <w:r w:rsidR="00942C4C">
        <w:rPr>
          <w:rFonts w:cs="Arial"/>
        </w:rPr>
        <w:t>highlighting</w:t>
      </w:r>
      <w:r w:rsidR="00F73874">
        <w:rPr>
          <w:rFonts w:cs="Arial"/>
        </w:rPr>
        <w:t xml:space="preserve"> diversity within a community. </w:t>
      </w:r>
      <w:r w:rsidR="0012231C" w:rsidRPr="00526B42">
        <w:rPr>
          <w:rFonts w:cs="Arial"/>
        </w:rPr>
        <w:t xml:space="preserve">An </w:t>
      </w:r>
      <w:r>
        <w:rPr>
          <w:rFonts w:cs="Arial"/>
        </w:rPr>
        <w:t>illustrative</w:t>
      </w:r>
      <w:r w:rsidRPr="00526B42">
        <w:rPr>
          <w:rFonts w:cs="Arial"/>
        </w:rPr>
        <w:t xml:space="preserve"> </w:t>
      </w:r>
      <w:r w:rsidR="0012231C" w:rsidRPr="00526B42">
        <w:rPr>
          <w:rFonts w:cs="Arial"/>
        </w:rPr>
        <w:t xml:space="preserve">example is provided by Watharow and Wayland 2022 who reported it is imperative that research staff and healthcare providers understand “the vast heterogeneity and complex living realities” for the Deafblind community. Through investigator-led knowledge and skills acquisition, </w:t>
      </w:r>
      <w:r w:rsidR="00574B17">
        <w:rPr>
          <w:rFonts w:cs="Arial"/>
        </w:rPr>
        <w:t>researchers</w:t>
      </w:r>
      <w:r w:rsidR="0012231C" w:rsidRPr="00526B42">
        <w:rPr>
          <w:rFonts w:cs="Arial"/>
        </w:rPr>
        <w:t xml:space="preserve"> can gain an appreciation for what barriers need to be removed and what accessible formats should be provided. This inquiry process may also </w:t>
      </w:r>
      <w:r w:rsidR="00D70EF6">
        <w:rPr>
          <w:rFonts w:cs="Arial"/>
        </w:rPr>
        <w:t>support</w:t>
      </w:r>
      <w:r w:rsidR="0012231C" w:rsidRPr="00526B42">
        <w:rPr>
          <w:rFonts w:cs="Arial"/>
        </w:rPr>
        <w:t xml:space="preserve"> developing solutions that are </w:t>
      </w:r>
      <w:r w:rsidR="006E2D7F">
        <w:rPr>
          <w:rFonts w:cs="Arial"/>
        </w:rPr>
        <w:t>broadly applicable</w:t>
      </w:r>
      <w:r w:rsidR="0012231C" w:rsidRPr="00526B42">
        <w:rPr>
          <w:rFonts w:cs="Arial"/>
        </w:rPr>
        <w:t xml:space="preserve"> and </w:t>
      </w:r>
      <w:r w:rsidR="006E2D7F">
        <w:rPr>
          <w:rFonts w:cs="Arial"/>
        </w:rPr>
        <w:t>responsive</w:t>
      </w:r>
      <w:r w:rsidR="0012231C" w:rsidRPr="00526B42">
        <w:rPr>
          <w:rFonts w:cs="Arial"/>
        </w:rPr>
        <w:t xml:space="preserve"> </w:t>
      </w:r>
      <w:r w:rsidR="005E37A0">
        <w:rPr>
          <w:rFonts w:cs="Arial"/>
        </w:rPr>
        <w:t>to a range of</w:t>
      </w:r>
      <w:r w:rsidR="0012231C" w:rsidRPr="00526B42">
        <w:rPr>
          <w:rFonts w:cs="Arial"/>
        </w:rPr>
        <w:t xml:space="preserve"> accessibility needs.</w:t>
      </w:r>
    </w:p>
    <w:p w14:paraId="5B0C1CB3" w14:textId="1B729FE8" w:rsidR="0012231C" w:rsidRPr="00526B42" w:rsidRDefault="0012231C" w:rsidP="0012231C">
      <w:pPr>
        <w:rPr>
          <w:rFonts w:cs="Arial"/>
        </w:rPr>
      </w:pPr>
      <w:r w:rsidRPr="00526B42">
        <w:rPr>
          <w:rFonts w:cs="Arial"/>
        </w:rPr>
        <w:t xml:space="preserve">Principle 8 encourages informed consent practice to be personalized, using a person-centred approach rather than driven by a rigid protocol. It requires research staff, and those conducting informed consent processes, to be nimble and agile in their methods. Recognizing heterogeneity within a community translates into having multiple methods to conduct, record and document informed consent. This point was </w:t>
      </w:r>
      <w:r w:rsidR="001F741A">
        <w:rPr>
          <w:rFonts w:cs="Arial"/>
        </w:rPr>
        <w:t>consistently reflected</w:t>
      </w:r>
      <w:r w:rsidRPr="00526B42">
        <w:rPr>
          <w:rFonts w:cs="Arial"/>
        </w:rPr>
        <w:t xml:space="preserve"> </w:t>
      </w:r>
      <w:r w:rsidR="001F741A">
        <w:rPr>
          <w:rFonts w:cs="Arial"/>
        </w:rPr>
        <w:t xml:space="preserve">across contributing </w:t>
      </w:r>
      <w:r w:rsidRPr="00526B42">
        <w:rPr>
          <w:rFonts w:cs="Arial"/>
        </w:rPr>
        <w:t>studies.</w:t>
      </w:r>
    </w:p>
    <w:p w14:paraId="7AB5E78D" w14:textId="2CE8C223" w:rsidR="0012231C" w:rsidRPr="00526B42" w:rsidRDefault="0012231C" w:rsidP="0012231C">
      <w:pPr>
        <w:rPr>
          <w:rFonts w:cs="Arial"/>
        </w:rPr>
      </w:pPr>
      <w:r w:rsidRPr="00526B42">
        <w:rPr>
          <w:rFonts w:cs="Arial"/>
        </w:rPr>
        <w:t xml:space="preserve">Ultimately, </w:t>
      </w:r>
      <w:r w:rsidR="001F3D83" w:rsidRPr="00526B42">
        <w:rPr>
          <w:rFonts w:cs="Arial"/>
        </w:rPr>
        <w:t>P</w:t>
      </w:r>
      <w:r w:rsidRPr="00526B42">
        <w:rPr>
          <w:rFonts w:cs="Arial"/>
        </w:rPr>
        <w:t xml:space="preserve">rinciple </w:t>
      </w:r>
      <w:r w:rsidR="001F3D83" w:rsidRPr="00526B42">
        <w:rPr>
          <w:rFonts w:cs="Arial"/>
        </w:rPr>
        <w:t xml:space="preserve">8 </w:t>
      </w:r>
      <w:r w:rsidRPr="00526B42">
        <w:rPr>
          <w:rFonts w:cs="Arial"/>
        </w:rPr>
        <w:t>signifies:</w:t>
      </w:r>
    </w:p>
    <w:p w14:paraId="2F80F4F9" w14:textId="77777777" w:rsidR="0012231C" w:rsidRPr="00526B42" w:rsidRDefault="0012231C" w:rsidP="0012231C">
      <w:pPr>
        <w:pStyle w:val="ListParagraph"/>
        <w:numPr>
          <w:ilvl w:val="0"/>
          <w:numId w:val="11"/>
        </w:numPr>
        <w:rPr>
          <w:rFonts w:cs="Arial"/>
        </w:rPr>
      </w:pPr>
      <w:r w:rsidRPr="00526B42">
        <w:rPr>
          <w:rFonts w:cs="Arial"/>
        </w:rPr>
        <w:t xml:space="preserve">Recognition of the spectrum of communication and information needs of the community. </w:t>
      </w:r>
    </w:p>
    <w:p w14:paraId="435E5941" w14:textId="06508CD7" w:rsidR="008701F7" w:rsidRPr="00526B42" w:rsidRDefault="0012231C" w:rsidP="00721D8E">
      <w:pPr>
        <w:pStyle w:val="ListParagraph"/>
        <w:numPr>
          <w:ilvl w:val="0"/>
          <w:numId w:val="11"/>
        </w:numPr>
        <w:rPr>
          <w:rFonts w:cs="Arial"/>
        </w:rPr>
      </w:pPr>
      <w:r w:rsidRPr="00526B42">
        <w:rPr>
          <w:rFonts w:cs="Arial"/>
        </w:rPr>
        <w:t>Design for diversity and heterogeneity within the community.</w:t>
      </w:r>
      <w:bookmarkStart w:id="12" w:name="bookmark=id.35nkun2" w:colFirst="0" w:colLast="0"/>
      <w:bookmarkStart w:id="13" w:name="bookmark=id.lnxbz9" w:colFirst="0" w:colLast="0"/>
      <w:bookmarkEnd w:id="12"/>
      <w:bookmarkEnd w:id="13"/>
    </w:p>
    <w:p w14:paraId="435E5942" w14:textId="77777777" w:rsidR="008701F7" w:rsidRPr="00526B42" w:rsidRDefault="00ED6592" w:rsidP="00721D8E">
      <w:pPr>
        <w:pStyle w:val="Heading1"/>
        <w:spacing w:after="240"/>
      </w:pPr>
      <w:r w:rsidRPr="00526B42">
        <w:t xml:space="preserve">Discussion </w:t>
      </w:r>
    </w:p>
    <w:p w14:paraId="22E60A41" w14:textId="4EF227F4" w:rsidR="005C7069" w:rsidRDefault="00AC7E07" w:rsidP="00AC7E07">
      <w:pPr>
        <w:rPr>
          <w:rFonts w:cs="Arial"/>
        </w:rPr>
      </w:pPr>
      <w:bookmarkStart w:id="14" w:name="bookmark=id.1ksv4uv" w:colFirst="0" w:colLast="0"/>
      <w:bookmarkStart w:id="15" w:name="bookmark=id.44sinio" w:colFirst="0" w:colLast="0"/>
      <w:bookmarkEnd w:id="14"/>
      <w:bookmarkEnd w:id="15"/>
      <w:r w:rsidRPr="00526B42">
        <w:rPr>
          <w:rFonts w:cs="Arial"/>
        </w:rPr>
        <w:t xml:space="preserve">The primary objective of this review was to identify and characterize strategies </w:t>
      </w:r>
      <w:r w:rsidR="00B02E78">
        <w:rPr>
          <w:rFonts w:cs="Arial"/>
        </w:rPr>
        <w:t>that</w:t>
      </w:r>
      <w:r w:rsidRPr="00526B42">
        <w:rPr>
          <w:rFonts w:cs="Arial"/>
        </w:rPr>
        <w:t xml:space="preserve"> promote inclusion and accessibility in the informed consent process for people with </w:t>
      </w:r>
      <w:r w:rsidR="004A2CC8">
        <w:rPr>
          <w:rFonts w:cs="Arial"/>
        </w:rPr>
        <w:t xml:space="preserve">diverse </w:t>
      </w:r>
      <w:r w:rsidRPr="00526B42">
        <w:rPr>
          <w:rFonts w:cs="Arial"/>
        </w:rPr>
        <w:t xml:space="preserve">vision and hearing </w:t>
      </w:r>
      <w:r w:rsidR="00D53209">
        <w:rPr>
          <w:rFonts w:cs="Arial"/>
        </w:rPr>
        <w:t>differences</w:t>
      </w:r>
      <w:r w:rsidR="00B02E78">
        <w:rPr>
          <w:rFonts w:cs="Arial"/>
        </w:rPr>
        <w:t xml:space="preserve"> and related access needs</w:t>
      </w:r>
      <w:r w:rsidRPr="00526B42">
        <w:rPr>
          <w:rFonts w:cs="Arial"/>
        </w:rPr>
        <w:t>. We identified 19 empirical studies that we mapped to preselected implementation frameworks</w:t>
      </w:r>
      <w:r w:rsidR="00C24179">
        <w:rPr>
          <w:rFonts w:cs="Arial"/>
        </w:rPr>
        <w:t>,</w:t>
      </w:r>
      <w:r w:rsidRPr="00526B42">
        <w:rPr>
          <w:rFonts w:cs="Arial"/>
        </w:rPr>
        <w:t xml:space="preserve"> </w:t>
      </w:r>
      <w:r w:rsidR="00DA7C21">
        <w:rPr>
          <w:rFonts w:cs="Arial"/>
        </w:rPr>
        <w:t>which supported the</w:t>
      </w:r>
      <w:r w:rsidRPr="00526B42">
        <w:rPr>
          <w:rFonts w:cs="Arial"/>
        </w:rPr>
        <w:t xml:space="preserve"> categoriz</w:t>
      </w:r>
      <w:r w:rsidR="00DA7C21">
        <w:rPr>
          <w:rFonts w:cs="Arial"/>
        </w:rPr>
        <w:t>ation of</w:t>
      </w:r>
      <w:r w:rsidRPr="00526B42">
        <w:rPr>
          <w:rFonts w:cs="Arial"/>
        </w:rPr>
        <w:t xml:space="preserve"> determinants, implementation strategies, mechanisms and outcomes. </w:t>
      </w:r>
      <w:r w:rsidR="004F60AC">
        <w:rPr>
          <w:rFonts w:cs="Arial"/>
        </w:rPr>
        <w:t>These</w:t>
      </w:r>
      <w:r w:rsidR="00E838AD">
        <w:rPr>
          <w:rFonts w:cs="Arial"/>
        </w:rPr>
        <w:t xml:space="preserve"> findings were synthesized</w:t>
      </w:r>
      <w:r w:rsidRPr="00526B42">
        <w:rPr>
          <w:rFonts w:cs="Arial"/>
        </w:rPr>
        <w:t xml:space="preserve"> into </w:t>
      </w:r>
      <w:r w:rsidR="00DA610A" w:rsidRPr="00526B42">
        <w:rPr>
          <w:rFonts w:cs="Arial"/>
        </w:rPr>
        <w:t xml:space="preserve">8 </w:t>
      </w:r>
      <w:r w:rsidRPr="00526B42">
        <w:rPr>
          <w:rFonts w:cs="Arial"/>
        </w:rPr>
        <w:t xml:space="preserve">key </w:t>
      </w:r>
      <w:r w:rsidR="00DA610A" w:rsidRPr="00526B42">
        <w:rPr>
          <w:rFonts w:cs="Arial"/>
        </w:rPr>
        <w:t>P</w:t>
      </w:r>
      <w:r w:rsidRPr="00526B42">
        <w:rPr>
          <w:rFonts w:cs="Arial"/>
        </w:rPr>
        <w:t xml:space="preserve">rinciples that </w:t>
      </w:r>
      <w:r w:rsidR="00E838AD">
        <w:rPr>
          <w:rFonts w:cs="Arial"/>
        </w:rPr>
        <w:t xml:space="preserve">provide practical guidance </w:t>
      </w:r>
      <w:r w:rsidRPr="00526B42">
        <w:rPr>
          <w:rFonts w:cs="Arial"/>
        </w:rPr>
        <w:t xml:space="preserve">for </w:t>
      </w:r>
      <w:r w:rsidR="00D72149">
        <w:rPr>
          <w:rFonts w:cs="Arial"/>
        </w:rPr>
        <w:t>developing</w:t>
      </w:r>
      <w:r w:rsidRPr="00526B42">
        <w:rPr>
          <w:rFonts w:cs="Arial"/>
        </w:rPr>
        <w:t xml:space="preserve"> inclusive and accessible informed consent process</w:t>
      </w:r>
      <w:r w:rsidR="005C7069">
        <w:rPr>
          <w:rFonts w:cs="Arial"/>
        </w:rPr>
        <w:t>es.</w:t>
      </w:r>
      <w:r w:rsidRPr="00526B42">
        <w:rPr>
          <w:rFonts w:cs="Arial"/>
        </w:rPr>
        <w:t xml:space="preserve"> </w:t>
      </w:r>
    </w:p>
    <w:p w14:paraId="50231E4B" w14:textId="1C7EC893" w:rsidR="003A676E" w:rsidRPr="003A676E" w:rsidRDefault="00DD6B5A" w:rsidP="003A676E">
      <w:pPr>
        <w:rPr>
          <w:rFonts w:cs="Arial"/>
        </w:rPr>
      </w:pPr>
      <w:r w:rsidRPr="009977AC">
        <w:rPr>
          <w:rFonts w:cs="Arial"/>
        </w:rPr>
        <w:t>Confidence in the evidence varied across Principles, with lower ratings primarily driven by limited data adequacy and, in some cases, methodological concerns, rather than the number of contributing studies alone.</w:t>
      </w:r>
      <w:r>
        <w:rPr>
          <w:rFonts w:cs="Arial"/>
        </w:rPr>
        <w:t xml:space="preserve"> </w:t>
      </w:r>
      <w:r w:rsidR="003A676E" w:rsidRPr="003A676E">
        <w:rPr>
          <w:rFonts w:cs="Arial"/>
        </w:rPr>
        <w:t>Many studies described the strategies used but did not consistently report detailed methods or evaluate how well these approaches worked. This limited the ability to assess implementation outcomes and contributed to lower confidence ratings in some Principles, as reflected in the QualSyst appraisals.</w:t>
      </w:r>
    </w:p>
    <w:p w14:paraId="756200A6" w14:textId="4F06104D" w:rsidR="00AC7E07" w:rsidRPr="00526B42" w:rsidRDefault="00AC7E07" w:rsidP="00AC7E07">
      <w:pPr>
        <w:rPr>
          <w:rFonts w:cs="Arial"/>
        </w:rPr>
      </w:pPr>
      <w:r w:rsidRPr="00526B42">
        <w:rPr>
          <w:rFonts w:cs="Arial"/>
        </w:rPr>
        <w:t>Our aggregate synthesis shows there is strong evidence</w:t>
      </w:r>
      <w:r w:rsidR="00D20AC5">
        <w:rPr>
          <w:rFonts w:cs="Arial"/>
        </w:rPr>
        <w:t xml:space="preserve"> for several </w:t>
      </w:r>
      <w:r w:rsidR="001B16ED">
        <w:rPr>
          <w:rFonts w:cs="Arial"/>
        </w:rPr>
        <w:t>Pri</w:t>
      </w:r>
      <w:r w:rsidR="00F92FBE">
        <w:rPr>
          <w:rFonts w:cs="Arial"/>
        </w:rPr>
        <w:t>nciples, including</w:t>
      </w:r>
      <w:r w:rsidRPr="00526B42">
        <w:rPr>
          <w:rFonts w:cs="Arial"/>
        </w:rPr>
        <w:t xml:space="preserve"> conducting an early audit of access needs and working with people with lived experience as well as experts in the </w:t>
      </w:r>
      <w:r w:rsidR="00B8486B">
        <w:rPr>
          <w:rFonts w:cs="Arial"/>
        </w:rPr>
        <w:t>community</w:t>
      </w:r>
      <w:r w:rsidRPr="00526B42">
        <w:rPr>
          <w:rFonts w:cs="Arial"/>
        </w:rPr>
        <w:t xml:space="preserve"> support sector as members of the project team (</w:t>
      </w:r>
      <w:r w:rsidR="00E211BF" w:rsidRPr="00526B42">
        <w:rPr>
          <w:rFonts w:cs="Arial"/>
        </w:rPr>
        <w:t>P</w:t>
      </w:r>
      <w:r w:rsidRPr="00526B42">
        <w:rPr>
          <w:rFonts w:cs="Arial"/>
        </w:rPr>
        <w:t xml:space="preserve">rinciples 1 – 3). Collectively these </w:t>
      </w:r>
      <w:r w:rsidR="00E211BF" w:rsidRPr="00526B42">
        <w:rPr>
          <w:rFonts w:cs="Arial"/>
        </w:rPr>
        <w:t>P</w:t>
      </w:r>
      <w:r w:rsidRPr="00526B42">
        <w:rPr>
          <w:rFonts w:cs="Arial"/>
        </w:rPr>
        <w:t xml:space="preserve">rinciples guide design and delivery of culturally competent and </w:t>
      </w:r>
      <w:r w:rsidR="00A66EDA">
        <w:rPr>
          <w:rFonts w:cs="Arial"/>
        </w:rPr>
        <w:t>inclusive</w:t>
      </w:r>
      <w:r w:rsidRPr="00526B42">
        <w:rPr>
          <w:rFonts w:cs="Arial"/>
        </w:rPr>
        <w:t xml:space="preserve"> research. They promote research practices that have a deeper connection to the community it hopes to serve. The importance of understanding the communication and information needs of the community, particularly in building trust and capacity, has also been shown in previous studies exploring consumer engagement in health and medical research (Land et al., 2017; Markman et al., 2023). The evidence supporting consumer and community involvement [or, patient and public involvement] in health and medical research is growing (Wiles et al., 2022). Our review adds to this </w:t>
      </w:r>
      <w:r w:rsidR="00F52E7E" w:rsidRPr="00526B42">
        <w:rPr>
          <w:rFonts w:cs="Arial"/>
        </w:rPr>
        <w:t xml:space="preserve">pivotal </w:t>
      </w:r>
      <w:r w:rsidRPr="00526B42">
        <w:rPr>
          <w:rFonts w:cs="Arial"/>
        </w:rPr>
        <w:t>body of research and suggests co-design methodology is pertinent to mapping out research invitation pathways and consent procedures. It also provides a lever for engaging with trusted supporters such as support workers and interpreters. The latter finding overlaps with other studies showing that trusted supporters of people with access needs can assist with supported decision-making (Lutz et al., 2016; Pillen et al., 2024).</w:t>
      </w:r>
    </w:p>
    <w:p w14:paraId="618BFEAE" w14:textId="77777777" w:rsidR="002B78D1" w:rsidRDefault="00AC7E07" w:rsidP="00AC7E07">
      <w:pPr>
        <w:rPr>
          <w:rFonts w:cs="Arial"/>
        </w:rPr>
      </w:pPr>
      <w:r w:rsidRPr="00526B42">
        <w:rPr>
          <w:rFonts w:cs="Arial"/>
        </w:rPr>
        <w:t xml:space="preserve">Through a consumer and community partnership process, education is possible regarding information formats required by the priority community. Principle 4 covers developing a range of accessible information formats and encourages the co-production of multiple information supplements in visual, audio or audio-visual formats. The use of audio-visual information formats for people with </w:t>
      </w:r>
      <w:r w:rsidR="00A621B4">
        <w:rPr>
          <w:rFonts w:cs="Arial"/>
        </w:rPr>
        <w:t xml:space="preserve">a range of </w:t>
      </w:r>
      <w:r w:rsidRPr="00526B42">
        <w:rPr>
          <w:rFonts w:cs="Arial"/>
        </w:rPr>
        <w:t xml:space="preserve">access needs is clearly highlighted by this review. It supports the ICH-GCP guidance in using ‘varied approaches such as text, images, videos and other interactive methods, in the informed consent process’ (recommendation 2.8.1, page 15) (ICH-GCP, 2025). However, further evidence is required regarding the feasibility, acceptability and adoption of these methods on participant outcomes such as satisfaction, acceptability and perceived appropriateness. </w:t>
      </w:r>
    </w:p>
    <w:p w14:paraId="4BBFCD06" w14:textId="2BBF361F" w:rsidR="00AC7E07" w:rsidRPr="00526B42" w:rsidRDefault="00AC7E07" w:rsidP="00AC7E07">
      <w:pPr>
        <w:rPr>
          <w:rFonts w:cs="Arial"/>
        </w:rPr>
      </w:pPr>
      <w:r w:rsidRPr="00526B42">
        <w:rPr>
          <w:rFonts w:cs="Arial"/>
        </w:rPr>
        <w:t xml:space="preserve">Evidence is also lacking regarding implementation barriers that may be experienced by research staff/clinicians in producing these formats. Regardless, our review </w:t>
      </w:r>
      <w:r w:rsidR="001B7FD3">
        <w:rPr>
          <w:rFonts w:cs="Arial"/>
        </w:rPr>
        <w:t>brings together</w:t>
      </w:r>
      <w:r w:rsidR="001B7FD3" w:rsidRPr="00526B42">
        <w:rPr>
          <w:rFonts w:cs="Arial"/>
        </w:rPr>
        <w:t xml:space="preserve"> </w:t>
      </w:r>
      <w:r w:rsidRPr="00526B42">
        <w:rPr>
          <w:rFonts w:cs="Arial"/>
        </w:rPr>
        <w:t xml:space="preserve">evidence </w:t>
      </w:r>
      <w:r w:rsidR="00CE2628">
        <w:rPr>
          <w:rFonts w:cs="Arial"/>
        </w:rPr>
        <w:t>on</w:t>
      </w:r>
      <w:r w:rsidRPr="00526B42">
        <w:rPr>
          <w:rFonts w:cs="Arial"/>
        </w:rPr>
        <w:t xml:space="preserve"> research and consent process</w:t>
      </w:r>
      <w:r w:rsidR="00CE2628">
        <w:rPr>
          <w:rFonts w:cs="Arial"/>
        </w:rPr>
        <w:t>es</w:t>
      </w:r>
      <w:r w:rsidRPr="00526B42">
        <w:rPr>
          <w:rFonts w:cs="Arial"/>
        </w:rPr>
        <w:t xml:space="preserve"> that prioritize </w:t>
      </w:r>
      <w:r w:rsidR="00CE2628">
        <w:rPr>
          <w:rFonts w:cs="Arial"/>
        </w:rPr>
        <w:t>accessible</w:t>
      </w:r>
      <w:r w:rsidRPr="00526B42">
        <w:rPr>
          <w:rFonts w:cs="Arial"/>
        </w:rPr>
        <w:t xml:space="preserve"> visual and auditory information and</w:t>
      </w:r>
      <w:r w:rsidR="00540646">
        <w:rPr>
          <w:rFonts w:cs="Arial"/>
        </w:rPr>
        <w:t>,</w:t>
      </w:r>
      <w:r w:rsidRPr="00526B42">
        <w:rPr>
          <w:rFonts w:cs="Arial"/>
        </w:rPr>
        <w:t xml:space="preserve"> where possible, </w:t>
      </w:r>
      <w:r w:rsidR="00540646">
        <w:rPr>
          <w:rFonts w:cs="Arial"/>
        </w:rPr>
        <w:t>involving</w:t>
      </w:r>
      <w:r w:rsidR="00540646" w:rsidRPr="00526B42">
        <w:rPr>
          <w:rFonts w:cs="Arial"/>
        </w:rPr>
        <w:t xml:space="preserve"> </w:t>
      </w:r>
      <w:r w:rsidRPr="00526B42">
        <w:rPr>
          <w:rFonts w:cs="Arial"/>
        </w:rPr>
        <w:t xml:space="preserve">research staff </w:t>
      </w:r>
      <w:r w:rsidR="00540646">
        <w:rPr>
          <w:rFonts w:cs="Arial"/>
        </w:rPr>
        <w:t xml:space="preserve">who are </w:t>
      </w:r>
      <w:r w:rsidRPr="00526B42">
        <w:rPr>
          <w:rFonts w:cs="Arial"/>
        </w:rPr>
        <w:t>fluent in the community’s language and culture.  Avoiding the presumption of what the priority population m</w:t>
      </w:r>
      <w:r w:rsidR="003369AD">
        <w:rPr>
          <w:rFonts w:cs="Arial"/>
        </w:rPr>
        <w:t>ay</w:t>
      </w:r>
      <w:r w:rsidRPr="00526B42">
        <w:rPr>
          <w:rFonts w:cs="Arial"/>
        </w:rPr>
        <w:t xml:space="preserve"> need, and avoiding a singular information format is </w:t>
      </w:r>
      <w:r w:rsidR="00B31068">
        <w:rPr>
          <w:rFonts w:cs="Arial"/>
        </w:rPr>
        <w:t>important</w:t>
      </w:r>
      <w:r w:rsidR="00F66086">
        <w:rPr>
          <w:rFonts w:cs="Arial"/>
        </w:rPr>
        <w:t>, as access needs may be diverse,</w:t>
      </w:r>
      <w:r w:rsidRPr="00526B42">
        <w:rPr>
          <w:rFonts w:cs="Arial"/>
        </w:rPr>
        <w:t xml:space="preserve"> undisclosed </w:t>
      </w:r>
      <w:r w:rsidR="004C41DF">
        <w:rPr>
          <w:rFonts w:cs="Arial"/>
        </w:rPr>
        <w:t xml:space="preserve">or not fully recognized in advance </w:t>
      </w:r>
      <w:r w:rsidRPr="00526B42">
        <w:rPr>
          <w:rFonts w:cs="Arial"/>
        </w:rPr>
        <w:t xml:space="preserve">(Rios et al., 2016). Researchers should be prepared for the possibility that potential participants may not fully understand their own access needs in relation to a specific study. Given this uncertainty, the </w:t>
      </w:r>
      <w:proofErr w:type="gramStart"/>
      <w:r w:rsidRPr="00526B42">
        <w:rPr>
          <w:rFonts w:cs="Arial"/>
        </w:rPr>
        <w:t>ultimate goal</w:t>
      </w:r>
      <w:proofErr w:type="gramEnd"/>
      <w:r w:rsidRPr="00526B42">
        <w:rPr>
          <w:rFonts w:cs="Arial"/>
        </w:rPr>
        <w:t xml:space="preserve"> should be routine design </w:t>
      </w:r>
      <w:r w:rsidR="00CF2EA0" w:rsidRPr="00526B42">
        <w:rPr>
          <w:rFonts w:cs="Arial"/>
        </w:rPr>
        <w:t xml:space="preserve">and delivery </w:t>
      </w:r>
      <w:r w:rsidRPr="00526B42">
        <w:rPr>
          <w:rFonts w:cs="Arial"/>
        </w:rPr>
        <w:t xml:space="preserve">of informed consent materials and processes </w:t>
      </w:r>
      <w:r w:rsidR="00CF2EA0" w:rsidRPr="00526B42">
        <w:rPr>
          <w:rFonts w:cs="Arial"/>
        </w:rPr>
        <w:t>that are</w:t>
      </w:r>
      <w:r w:rsidRPr="00526B42">
        <w:rPr>
          <w:rFonts w:cs="Arial"/>
        </w:rPr>
        <w:t xml:space="preserve"> maximally accessible and inclusive of all abilities. </w:t>
      </w:r>
    </w:p>
    <w:p w14:paraId="18294E9A" w14:textId="04572722" w:rsidR="00AC7E07" w:rsidRPr="00526B42" w:rsidRDefault="00AC7E07" w:rsidP="00AC7E07">
      <w:pPr>
        <w:rPr>
          <w:rFonts w:cs="Arial"/>
        </w:rPr>
      </w:pPr>
      <w:r w:rsidRPr="00526B42">
        <w:rPr>
          <w:rFonts w:cs="Arial"/>
        </w:rPr>
        <w:t>Our review highlights the importance of preparatory workforce capacity building, budget and resource allocation to support the delivery of accessible and equitable materials and processes. Principle 5 is directed to organizational (inner setting) level factors impacting informed consent practice. Research staff need adequate education and training opportunities to foster their skills in adapting informed consent practice. Few studies included in this review reported the direct impact of researcher education and training to build or strengthen knowledge and understanding of participants’ access needs to then be able to execute a tailored informed consent process (</w:t>
      </w:r>
      <w:r w:rsidR="0051215D" w:rsidRPr="00526B42">
        <w:rPr>
          <w:rFonts w:cs="Arial"/>
        </w:rPr>
        <w:t>P</w:t>
      </w:r>
      <w:r w:rsidRPr="00526B42">
        <w:rPr>
          <w:rFonts w:cs="Arial"/>
        </w:rPr>
        <w:t xml:space="preserve">rinciple 5). However, several studies implied these areas would be strengthened if research teams engaged with community leaders and organizations to firstly conduct an access needs assessment (studies supporting </w:t>
      </w:r>
      <w:r w:rsidR="005B2A62" w:rsidRPr="00526B42">
        <w:rPr>
          <w:rFonts w:cs="Arial"/>
        </w:rPr>
        <w:t>P</w:t>
      </w:r>
      <w:r w:rsidRPr="00526B42">
        <w:rPr>
          <w:rFonts w:cs="Arial"/>
        </w:rPr>
        <w:t xml:space="preserve">rinciple 1), secondly work together on design and delivery of processes (studies supporting Principle 2) and thirdly have representatives as active members of the project team (studies supporting Principle 3). Within the research sector, more focused informed consent training, emphasizing how to tailor communication practices to meet participant’s needs, has been suggested to build confidence and competency (Anderson et al., 2017; Markman et al., 2023; McWhirter &amp; Eckstein., 2018; O'Sullivan et al., 2021; Wells et al., 2024).  The importance of engaging community members </w:t>
      </w:r>
      <w:r w:rsidR="00867EB2">
        <w:rPr>
          <w:rFonts w:cs="Arial"/>
        </w:rPr>
        <w:t xml:space="preserve">in </w:t>
      </w:r>
      <w:r w:rsidRPr="00526B42">
        <w:rPr>
          <w:rFonts w:cs="Arial"/>
        </w:rPr>
        <w:t xml:space="preserve">communication training for consent procedures has also been demonstrated (Markman et al., 2023). </w:t>
      </w:r>
    </w:p>
    <w:p w14:paraId="03B9213F" w14:textId="64981DE9" w:rsidR="00AC7E07" w:rsidRPr="00526B42" w:rsidRDefault="00AC7E07" w:rsidP="00AC7E07">
      <w:pPr>
        <w:rPr>
          <w:rFonts w:cs="Arial"/>
        </w:rPr>
      </w:pPr>
      <w:r w:rsidRPr="00526B42">
        <w:rPr>
          <w:rFonts w:cs="Arial"/>
        </w:rPr>
        <w:t xml:space="preserve">Principle 6 ensures that early project planning secures adequate funding to cover direct and indirect costs. Other studies have shown that multimedia decision aids can cost over four figure sums, depending on complexity, but the upfront cost is outweighed by increased participant retention (lower withdrawal rate) (Politi et al., 2023; Scalia et al., 2020). Yet with increasing uptake of artificial intelligence or AI assisted production, these costs will reduce. Many issues raised in the included papers due to inaccessible information access are suggested to be redressed with appropriate levels of resourcing to support a comprehensive and dedicated approach to informed consent processes. For example, funds for assistive technology and communication devices and having the right formats offered from the outset to enable independent decision making. Many studies in our review advocated multiple solutions and the avoidance of a ‘one size fits all’ approach. </w:t>
      </w:r>
      <w:r w:rsidR="00A249A9" w:rsidRPr="00526B42">
        <w:rPr>
          <w:rFonts w:cs="Arial"/>
        </w:rPr>
        <w:t>Traditionally, accessibility has been addressed through 'workaround' practices. For example, asking someone to read materials aloud for a person</w:t>
      </w:r>
      <w:r w:rsidR="00E841D8">
        <w:rPr>
          <w:rFonts w:cs="Arial"/>
        </w:rPr>
        <w:t>,</w:t>
      </w:r>
      <w:r w:rsidR="00A249A9" w:rsidRPr="00526B42">
        <w:rPr>
          <w:rFonts w:cs="Arial"/>
        </w:rPr>
        <w:t xml:space="preserve"> </w:t>
      </w:r>
      <w:r w:rsidR="00E841D8">
        <w:rPr>
          <w:rFonts w:cs="Arial"/>
        </w:rPr>
        <w:t xml:space="preserve">rather than </w:t>
      </w:r>
      <w:r w:rsidR="00A249A9" w:rsidRPr="00526B42">
        <w:rPr>
          <w:rFonts w:cs="Arial"/>
        </w:rPr>
        <w:t xml:space="preserve">providing formats that enable independent access to information </w:t>
      </w:r>
      <w:r w:rsidRPr="00526B42">
        <w:rPr>
          <w:rFonts w:cs="Arial"/>
        </w:rPr>
        <w:t>(Withers &amp; Speight, 2017).</w:t>
      </w:r>
    </w:p>
    <w:p w14:paraId="703D234F" w14:textId="3AC06011" w:rsidR="00AC7E07" w:rsidRPr="00526B42" w:rsidRDefault="00AC7E07" w:rsidP="00AC7E07">
      <w:pPr>
        <w:rPr>
          <w:rFonts w:cs="Arial"/>
        </w:rPr>
      </w:pPr>
      <w:r w:rsidRPr="00526B42">
        <w:rPr>
          <w:rFonts w:cs="Arial"/>
        </w:rPr>
        <w:t xml:space="preserve">Best practice guidelines often require written informed consent processes for interventional clinical trial participation. However, asking someone to sign a document that they are unable to consume in an accessible format is in opposition to upholding domestic and international law (United Nations Convention on the Rights of Persons with Disabilities/CRPD, 2006). Both </w:t>
      </w:r>
      <w:r w:rsidR="000D3FE2" w:rsidRPr="00526B42">
        <w:rPr>
          <w:rFonts w:cs="Arial"/>
        </w:rPr>
        <w:t>P</w:t>
      </w:r>
      <w:r w:rsidRPr="00526B42">
        <w:rPr>
          <w:rFonts w:cs="Arial"/>
        </w:rPr>
        <w:t xml:space="preserve">rinciple 7 and 8 align with human rights law and the importance of ensuring that all individuals are provided with equitable access to information, and an opportunity for autonomy and agency over their decision to participate in research (or health care options). Whilst this review sharpens this focus, </w:t>
      </w:r>
      <w:r w:rsidR="002F3EE8" w:rsidRPr="009977AC">
        <w:rPr>
          <w:rFonts w:cs="Arial"/>
        </w:rPr>
        <w:t xml:space="preserve">the lower confidence ratings for </w:t>
      </w:r>
      <w:r w:rsidR="0081321C">
        <w:rPr>
          <w:rFonts w:cs="Arial"/>
        </w:rPr>
        <w:t xml:space="preserve">these </w:t>
      </w:r>
      <w:r w:rsidR="002F3EE8" w:rsidRPr="009977AC">
        <w:rPr>
          <w:rFonts w:cs="Arial"/>
        </w:rPr>
        <w:t>Principles relating to consent flexibility and recognition of heterogeneity highlight important evidence gaps, particularly regarding the acceptability, implementation, and outcomes of these approaches in practice.</w:t>
      </w:r>
      <w:r w:rsidR="0081321C">
        <w:rPr>
          <w:rFonts w:cs="Arial"/>
        </w:rPr>
        <w:t xml:space="preserve"> </w:t>
      </w:r>
      <w:r w:rsidR="00E51EB6">
        <w:rPr>
          <w:rFonts w:cs="Arial"/>
        </w:rPr>
        <w:t>F</w:t>
      </w:r>
      <w:r w:rsidRPr="00526B42">
        <w:rPr>
          <w:rFonts w:cs="Arial"/>
        </w:rPr>
        <w:t xml:space="preserve">uture work is needed </w:t>
      </w:r>
      <w:r w:rsidR="00E51EB6">
        <w:rPr>
          <w:rFonts w:cs="Arial"/>
        </w:rPr>
        <w:t xml:space="preserve">to address these gaps as well as </w:t>
      </w:r>
      <w:r w:rsidRPr="00526B42">
        <w:rPr>
          <w:rFonts w:cs="Arial"/>
        </w:rPr>
        <w:t>to develop a standardized method for measuring participant/patient empowerment during informed consent processes. Currently there are tools available for measuring empowerment in self-management of chronic health conditions but no current tools applicable to the level of agency and autonomy required by informed consent process (Pekonen et al., 2020).</w:t>
      </w:r>
    </w:p>
    <w:p w14:paraId="1E1FE110" w14:textId="7FC0841D" w:rsidR="000F0B92" w:rsidRPr="00526B42" w:rsidRDefault="00AC7E07" w:rsidP="00AC7E07">
      <w:pPr>
        <w:rPr>
          <w:rFonts w:cs="Arial"/>
        </w:rPr>
      </w:pPr>
      <w:r w:rsidRPr="00526B42">
        <w:rPr>
          <w:rFonts w:cs="Arial"/>
        </w:rPr>
        <w:t xml:space="preserve">The need for systematic change and adaptive methods for informed consent practices </w:t>
      </w:r>
      <w:proofErr w:type="gramStart"/>
      <w:r w:rsidRPr="00526B42">
        <w:rPr>
          <w:rFonts w:cs="Arial"/>
        </w:rPr>
        <w:t>are</w:t>
      </w:r>
      <w:proofErr w:type="gramEnd"/>
      <w:r w:rsidRPr="00526B42">
        <w:rPr>
          <w:rFonts w:cs="Arial"/>
        </w:rPr>
        <w:t xml:space="preserve"> clear. Research conducted with, and by, people with lived experience in this review was generally well designed, grounded by a theoretical framework, and resulted in reflexivity. Ethical inclusion of lived experience perspectives requires a systematic change in research and consent practices (Krawczyk et al., 2024). To achieve this, there is a need to acknowledge that research involving people from the low vision and blindness community, Deaf or Deafblind communities, have ‘different ways of being, telling and doing’ (Watharow &amp; Wayland, 2024). Cross</w:t>
      </w:r>
      <w:r w:rsidR="00B35ACB">
        <w:rPr>
          <w:rFonts w:cs="Arial"/>
        </w:rPr>
        <w:t>-</w:t>
      </w:r>
      <w:r w:rsidRPr="00526B42">
        <w:rPr>
          <w:rFonts w:cs="Arial"/>
        </w:rPr>
        <w:t xml:space="preserve">cultural research should consider the diversity and heterogeneity of the community in which it hopes to serve. </w:t>
      </w:r>
      <w:r w:rsidR="009C78E3" w:rsidRPr="00526B42">
        <w:rPr>
          <w:rFonts w:cs="Arial"/>
        </w:rPr>
        <w:t xml:space="preserve">As </w:t>
      </w:r>
      <w:r w:rsidR="000F0B92" w:rsidRPr="00526B42">
        <w:rPr>
          <w:rFonts w:cs="Arial"/>
        </w:rPr>
        <w:t>mentioned</w:t>
      </w:r>
      <w:r w:rsidR="009C78E3" w:rsidRPr="00526B42">
        <w:rPr>
          <w:rFonts w:cs="Arial"/>
        </w:rPr>
        <w:t>, i</w:t>
      </w:r>
      <w:r w:rsidRPr="00526B42">
        <w:rPr>
          <w:rFonts w:cs="Arial"/>
        </w:rPr>
        <w:t xml:space="preserve">nformation access in the informed consent process for clinical research is paramount in supporting empowered consent choices (Olkin, 2004; Rios et al., 2016). It requires tailoring information provision and the adoption of strategies to promote accessibility of the information (Jawa et al., 2023). To support the research sector in achieving this objective, implementation frameworks can provide a fundamental structure to these steps. For example, the Expert Recommendations for Implementing Change [ERIC model] provide a leading set of supplementary methods to identify, develop and evaluate implementation strategies (Powell et al., 2015). [See additional CFIR-ERIC matching tool: https://www.nccmt.ca/organizational-change/results/77].  </w:t>
      </w:r>
    </w:p>
    <w:p w14:paraId="74807B17" w14:textId="1C37A774" w:rsidR="00AC7E07" w:rsidRPr="00526B42" w:rsidRDefault="00AC7E07" w:rsidP="00AC7E07">
      <w:pPr>
        <w:rPr>
          <w:rFonts w:cs="Arial"/>
        </w:rPr>
      </w:pPr>
      <w:r w:rsidRPr="00526B42">
        <w:rPr>
          <w:rFonts w:cs="Arial"/>
        </w:rPr>
        <w:t xml:space="preserve">Tools such as these can help to empower organizations, individuals and communities to work together in promoting universal access for everyone.  </w:t>
      </w:r>
    </w:p>
    <w:p w14:paraId="7FFF290C" w14:textId="65F08347" w:rsidR="00AC7E07" w:rsidRPr="00526B42" w:rsidRDefault="00335C2D" w:rsidP="00AC7E07">
      <w:pPr>
        <w:pStyle w:val="Heading3"/>
      </w:pPr>
      <w:r w:rsidRPr="00526B42">
        <w:t xml:space="preserve">Strengths and </w:t>
      </w:r>
      <w:r w:rsidR="00AC7E07" w:rsidRPr="00526B42">
        <w:t xml:space="preserve">Limitations </w:t>
      </w:r>
    </w:p>
    <w:p w14:paraId="03FCEF7C" w14:textId="77777777" w:rsidR="00335C2D" w:rsidRPr="00526B42" w:rsidRDefault="00335C2D" w:rsidP="00335C2D">
      <w:pPr>
        <w:rPr>
          <w:rFonts w:cs="Arial"/>
        </w:rPr>
      </w:pPr>
      <w:r w:rsidRPr="00526B42">
        <w:rPr>
          <w:rFonts w:cs="Arial"/>
        </w:rPr>
        <w:t>This review provides a lens across research spanning over two decades. This provides an opportunity to appreciate the evolving research landscape with particular interest in language and context. For example, the review was able to capture change in research designs from research ‘to and for’ patients/participants to conducting research ‘with’ or ‘by’ them (e.g., consumer and community engagement, patient and public involvement in research, participatory action research, community-engaged research). This highlights the positive system orientated shift towards equitable access to the process, and benefits within clinical care and research.</w:t>
      </w:r>
    </w:p>
    <w:p w14:paraId="7AD6AFC3" w14:textId="7B522985" w:rsidR="00AC7E07" w:rsidRPr="00526B42" w:rsidRDefault="00EA1E4D" w:rsidP="00AC7E07">
      <w:pPr>
        <w:rPr>
          <w:rFonts w:cs="Arial"/>
        </w:rPr>
      </w:pPr>
      <w:r w:rsidRPr="00526B42">
        <w:rPr>
          <w:rFonts w:cs="Arial"/>
        </w:rPr>
        <w:t>D</w:t>
      </w:r>
      <w:r w:rsidR="00AC7E07" w:rsidRPr="00526B42">
        <w:rPr>
          <w:rFonts w:cs="Arial"/>
        </w:rPr>
        <w:t xml:space="preserve">eveloping an optimal search strategy was complex, where search terms such as ‘vision’ and ‘blind’ mean different things depending on the context. Language is also evolving regarding identity and preferences within cultural communities. This meant screening </w:t>
      </w:r>
      <w:proofErr w:type="gramStart"/>
      <w:r w:rsidR="00AC7E07" w:rsidRPr="00526B42">
        <w:rPr>
          <w:rFonts w:cs="Arial"/>
        </w:rPr>
        <w:t>a large number of</w:t>
      </w:r>
      <w:proofErr w:type="gramEnd"/>
      <w:r w:rsidR="00AC7E07" w:rsidRPr="00526B42">
        <w:rPr>
          <w:rFonts w:cs="Arial"/>
        </w:rPr>
        <w:t xml:space="preserve"> articles that did not meet eligibility criteria. However, we are confident that our search strategy</w:t>
      </w:r>
      <w:r w:rsidR="004E2BBD" w:rsidRPr="00526B42">
        <w:rPr>
          <w:rFonts w:cs="Arial"/>
        </w:rPr>
        <w:t xml:space="preserve"> was a comprehensive search of</w:t>
      </w:r>
      <w:r w:rsidR="00AC7E07" w:rsidRPr="00526B42">
        <w:rPr>
          <w:rFonts w:cs="Arial"/>
        </w:rPr>
        <w:t xml:space="preserve"> five electronic databases. Piloting the search strategy assisted us in selecting terms to capture the breadth of key words associated with the senses of vision and hearing.  </w:t>
      </w:r>
    </w:p>
    <w:p w14:paraId="1921B62A" w14:textId="50B790BC" w:rsidR="00AC7E07" w:rsidRDefault="005925DE" w:rsidP="00AC7E07">
      <w:pPr>
        <w:rPr>
          <w:rFonts w:cs="Arial"/>
        </w:rPr>
      </w:pPr>
      <w:r w:rsidRPr="00526B42">
        <w:rPr>
          <w:rFonts w:cs="Arial"/>
        </w:rPr>
        <w:t>We</w:t>
      </w:r>
      <w:r w:rsidR="00AC7E07" w:rsidRPr="00526B42">
        <w:rPr>
          <w:rFonts w:cs="Arial"/>
        </w:rPr>
        <w:t xml:space="preserve"> decided to include only empirical research. This led to the exclusion of opinion pieces, systematic and scoping reviews which were focused on informed consent. However, these papers often did not focus on our priority populations and reported more general results. </w:t>
      </w:r>
      <w:r w:rsidR="000443E0" w:rsidRPr="00526B42">
        <w:rPr>
          <w:rFonts w:cs="Arial"/>
        </w:rPr>
        <w:t>We</w:t>
      </w:r>
      <w:r w:rsidR="00AC7E07" w:rsidRPr="00526B42">
        <w:rPr>
          <w:rFonts w:cs="Arial"/>
        </w:rPr>
        <w:t xml:space="preserve"> also excluded research that was focused on other priority populations. For example, noteworthy research conducted exploring informed consent strategies for people with intellectual disability (Morgan et al., 2015; Strickler &amp; Havercamp, 2023; Taua et al., 2014; Wark et al., 2017) [see also systematic review (Dunn et al., 2024)]. However, whilst we did not focus on this specific community, our research adds to the points made regarding capacity and agency in decision making. </w:t>
      </w:r>
      <w:r w:rsidR="00591525">
        <w:rPr>
          <w:rFonts w:cs="Arial"/>
        </w:rPr>
        <w:t>P</w:t>
      </w:r>
      <w:r w:rsidR="00AC7E07" w:rsidRPr="00526B42">
        <w:rPr>
          <w:rFonts w:cs="Arial"/>
        </w:rPr>
        <w:t xml:space="preserve">roxy consent should be </w:t>
      </w:r>
      <w:r w:rsidR="00AE5A50">
        <w:rPr>
          <w:rFonts w:cs="Arial"/>
        </w:rPr>
        <w:t xml:space="preserve">used </w:t>
      </w:r>
      <w:r w:rsidR="00AC7E07" w:rsidRPr="00526B42">
        <w:rPr>
          <w:rFonts w:cs="Arial"/>
        </w:rPr>
        <w:t xml:space="preserve">rarely, and every </w:t>
      </w:r>
      <w:r w:rsidR="00B80558">
        <w:rPr>
          <w:rFonts w:cs="Arial"/>
        </w:rPr>
        <w:t>effort</w:t>
      </w:r>
      <w:r w:rsidR="00B80558" w:rsidRPr="00526B42">
        <w:rPr>
          <w:rFonts w:cs="Arial"/>
        </w:rPr>
        <w:t xml:space="preserve"> </w:t>
      </w:r>
      <w:r w:rsidR="00AC7E07" w:rsidRPr="00526B42">
        <w:rPr>
          <w:rFonts w:cs="Arial"/>
        </w:rPr>
        <w:t xml:space="preserve">should be made to </w:t>
      </w:r>
      <w:r w:rsidR="009B374A">
        <w:rPr>
          <w:rFonts w:cs="Arial"/>
        </w:rPr>
        <w:t xml:space="preserve">promote independence </w:t>
      </w:r>
      <w:r w:rsidR="00A2495A">
        <w:rPr>
          <w:rFonts w:cs="Arial"/>
        </w:rPr>
        <w:t xml:space="preserve">and </w:t>
      </w:r>
      <w:r w:rsidR="00AE5A50">
        <w:rPr>
          <w:rFonts w:cs="Arial"/>
        </w:rPr>
        <w:t>ensure</w:t>
      </w:r>
      <w:r w:rsidR="00AE5A50" w:rsidRPr="00526B42">
        <w:rPr>
          <w:rFonts w:cs="Arial"/>
        </w:rPr>
        <w:t xml:space="preserve"> </w:t>
      </w:r>
      <w:r w:rsidR="00AC7E07" w:rsidRPr="00526B42">
        <w:rPr>
          <w:rFonts w:cs="Arial"/>
        </w:rPr>
        <w:t>equitable access to information in way</w:t>
      </w:r>
      <w:r w:rsidR="00C36975">
        <w:rPr>
          <w:rFonts w:cs="Arial"/>
        </w:rPr>
        <w:t>s</w:t>
      </w:r>
      <w:r w:rsidR="00AC7E07" w:rsidRPr="00526B42">
        <w:rPr>
          <w:rFonts w:cs="Arial"/>
        </w:rPr>
        <w:t xml:space="preserve"> that responds to a person’s needs. </w:t>
      </w:r>
    </w:p>
    <w:p w14:paraId="3D563982" w14:textId="28E99802" w:rsidR="00AC7E07" w:rsidRDefault="000443E0" w:rsidP="00AC7E07">
      <w:pPr>
        <w:rPr>
          <w:rFonts w:cs="Arial"/>
        </w:rPr>
      </w:pPr>
      <w:r w:rsidRPr="00526B42">
        <w:rPr>
          <w:rFonts w:cs="Arial"/>
        </w:rPr>
        <w:t xml:space="preserve">We </w:t>
      </w:r>
      <w:r w:rsidR="00AC7E07" w:rsidRPr="00526B42">
        <w:rPr>
          <w:rFonts w:cs="Arial"/>
        </w:rPr>
        <w:t>excluded research that specifically focused on narrow settings. For example, informed consent procedures undertaken for a specific surgical procedure. The number of papers exploring the impact of videos to supplement informed consent procedures for surgical procedures is high. Yet, whilst these papers were not included</w:t>
      </w:r>
      <w:r w:rsidR="00C36975">
        <w:rPr>
          <w:rFonts w:cs="Arial"/>
        </w:rPr>
        <w:t>,</w:t>
      </w:r>
      <w:r w:rsidR="00AC7E07" w:rsidRPr="00526B42">
        <w:rPr>
          <w:rFonts w:cs="Arial"/>
        </w:rPr>
        <w:t xml:space="preserve"> we note</w:t>
      </w:r>
      <w:r w:rsidR="002B2277">
        <w:rPr>
          <w:rFonts w:cs="Arial"/>
        </w:rPr>
        <w:t>d</w:t>
      </w:r>
      <w:r w:rsidR="00AC7E07" w:rsidRPr="00526B42">
        <w:rPr>
          <w:rFonts w:cs="Arial"/>
        </w:rPr>
        <w:t xml:space="preserve"> that they support</w:t>
      </w:r>
      <w:r w:rsidR="002B2277">
        <w:rPr>
          <w:rFonts w:cs="Arial"/>
        </w:rPr>
        <w:t>ed</w:t>
      </w:r>
      <w:r w:rsidR="00AC7E07" w:rsidRPr="00526B42">
        <w:rPr>
          <w:rFonts w:cs="Arial"/>
        </w:rPr>
        <w:t xml:space="preserve"> </w:t>
      </w:r>
      <w:r w:rsidR="002B2277">
        <w:rPr>
          <w:rFonts w:cs="Arial"/>
        </w:rPr>
        <w:t xml:space="preserve">our </w:t>
      </w:r>
      <w:r w:rsidR="00AC7E07" w:rsidRPr="00526B42">
        <w:rPr>
          <w:rFonts w:cs="Arial"/>
        </w:rPr>
        <w:t>review findings regarding the use of audio-visual materials to improve information access. Last</w:t>
      </w:r>
      <w:r w:rsidR="00D15448" w:rsidRPr="00526B42">
        <w:rPr>
          <w:rFonts w:cs="Arial"/>
        </w:rPr>
        <w:t>ly</w:t>
      </w:r>
      <w:r w:rsidR="00AC7E07" w:rsidRPr="00526B42">
        <w:rPr>
          <w:rFonts w:cs="Arial"/>
        </w:rPr>
        <w:t xml:space="preserve">, we did not include any study that was not available in English. This is somewhat at odds with our intent to explore equity in research participation and our focus on the importance of language translations. With advancing generative AI technology, language translations should become easier, but the challenge will be in verifying the accuracy for this requirement. </w:t>
      </w:r>
    </w:p>
    <w:p w14:paraId="6DBD6FD3" w14:textId="679A2DAA" w:rsidR="00D91094" w:rsidRPr="00526B42" w:rsidRDefault="00D2692C" w:rsidP="00AC7E07">
      <w:pPr>
        <w:rPr>
          <w:rFonts w:cs="Arial"/>
        </w:rPr>
      </w:pPr>
      <w:r>
        <w:rPr>
          <w:rFonts w:cs="Arial"/>
        </w:rPr>
        <w:t>The q</w:t>
      </w:r>
      <w:r w:rsidR="00D91094">
        <w:rPr>
          <w:rFonts w:cs="Arial"/>
        </w:rPr>
        <w:t xml:space="preserve">uality of reporting </w:t>
      </w:r>
      <w:r w:rsidR="00D023BF">
        <w:rPr>
          <w:rFonts w:cs="Arial"/>
        </w:rPr>
        <w:t>of methodological detail and effectiveness of intervention</w:t>
      </w:r>
      <w:r w:rsidR="00455B78">
        <w:rPr>
          <w:rFonts w:cs="Arial"/>
        </w:rPr>
        <w:t>s</w:t>
      </w:r>
      <w:r w:rsidR="00D023BF">
        <w:rPr>
          <w:rFonts w:cs="Arial"/>
        </w:rPr>
        <w:t xml:space="preserve"> </w:t>
      </w:r>
      <w:r w:rsidR="00455B78">
        <w:rPr>
          <w:rFonts w:cs="Arial"/>
        </w:rPr>
        <w:t xml:space="preserve">and implementation strategies </w:t>
      </w:r>
      <w:r w:rsidR="00D023BF">
        <w:rPr>
          <w:rFonts w:cs="Arial"/>
        </w:rPr>
        <w:t xml:space="preserve">was </w:t>
      </w:r>
      <w:r w:rsidR="00921504">
        <w:rPr>
          <w:rFonts w:cs="Arial"/>
        </w:rPr>
        <w:t>limited in some included studies</w:t>
      </w:r>
      <w:r w:rsidR="001439D0">
        <w:rPr>
          <w:rFonts w:cs="Arial"/>
        </w:rPr>
        <w:t>. These gaps</w:t>
      </w:r>
      <w:r w:rsidR="007757A4">
        <w:rPr>
          <w:rFonts w:cs="Arial"/>
        </w:rPr>
        <w:t xml:space="preserve"> </w:t>
      </w:r>
      <w:r w:rsidR="00F758E8">
        <w:rPr>
          <w:rFonts w:cs="Arial"/>
        </w:rPr>
        <w:t xml:space="preserve">warrant </w:t>
      </w:r>
      <w:r w:rsidR="001439D0">
        <w:rPr>
          <w:rFonts w:cs="Arial"/>
        </w:rPr>
        <w:t>close</w:t>
      </w:r>
      <w:r w:rsidR="00F758E8">
        <w:rPr>
          <w:rFonts w:cs="Arial"/>
        </w:rPr>
        <w:t>r</w:t>
      </w:r>
      <w:r w:rsidR="001439D0">
        <w:rPr>
          <w:rFonts w:cs="Arial"/>
        </w:rPr>
        <w:t xml:space="preserve"> </w:t>
      </w:r>
      <w:r w:rsidR="00DD2993">
        <w:rPr>
          <w:rFonts w:cs="Arial"/>
        </w:rPr>
        <w:t xml:space="preserve">attention in future </w:t>
      </w:r>
      <w:r w:rsidR="00F758E8">
        <w:rPr>
          <w:rFonts w:cs="Arial"/>
        </w:rPr>
        <w:t>research</w:t>
      </w:r>
      <w:r w:rsidR="00DD2993">
        <w:rPr>
          <w:rFonts w:cs="Arial"/>
        </w:rPr>
        <w:t>.</w:t>
      </w:r>
    </w:p>
    <w:p w14:paraId="435E5944" w14:textId="77777777" w:rsidR="008701F7" w:rsidRPr="00526B42" w:rsidRDefault="00ED6592" w:rsidP="00721D8E">
      <w:pPr>
        <w:pStyle w:val="Heading1"/>
        <w:spacing w:after="240"/>
      </w:pPr>
      <w:r w:rsidRPr="00526B42">
        <w:t xml:space="preserve">Authors' conclusions </w:t>
      </w:r>
    </w:p>
    <w:p w14:paraId="1DEA6B1A" w14:textId="230861F2" w:rsidR="008912F1" w:rsidRPr="00526B42" w:rsidRDefault="00AC7E07" w:rsidP="00AC7E07">
      <w:pPr>
        <w:rPr>
          <w:rFonts w:cs="Arial"/>
        </w:rPr>
      </w:pPr>
      <w:bookmarkStart w:id="16" w:name="bookmark=id.2jxsxqh" w:colFirst="0" w:colLast="0"/>
      <w:bookmarkStart w:id="17" w:name="bookmark=id.z337ya" w:colFirst="0" w:colLast="0"/>
      <w:bookmarkEnd w:id="16"/>
      <w:bookmarkEnd w:id="17"/>
      <w:r w:rsidRPr="00526B42">
        <w:rPr>
          <w:rFonts w:cs="Arial"/>
        </w:rPr>
        <w:t xml:space="preserve">This review highlights a set of </w:t>
      </w:r>
      <w:r w:rsidR="00D15448" w:rsidRPr="00526B42">
        <w:rPr>
          <w:rFonts w:cs="Arial"/>
        </w:rPr>
        <w:t>8</w:t>
      </w:r>
      <w:r w:rsidRPr="00526B42">
        <w:rPr>
          <w:rFonts w:cs="Arial"/>
        </w:rPr>
        <w:t xml:space="preserve"> </w:t>
      </w:r>
      <w:r w:rsidR="00D15448" w:rsidRPr="00526B42">
        <w:rPr>
          <w:rFonts w:cs="Arial"/>
        </w:rPr>
        <w:t>action</w:t>
      </w:r>
      <w:r w:rsidRPr="00526B42">
        <w:rPr>
          <w:rFonts w:cs="Arial"/>
        </w:rPr>
        <w:t xml:space="preserve"> </w:t>
      </w:r>
      <w:r w:rsidR="00D15448" w:rsidRPr="00526B42">
        <w:rPr>
          <w:rFonts w:cs="Arial"/>
        </w:rPr>
        <w:t>P</w:t>
      </w:r>
      <w:r w:rsidRPr="00526B42">
        <w:rPr>
          <w:rFonts w:cs="Arial"/>
        </w:rPr>
        <w:t>rinciples that support research staff and clinicians in enabling information access with people w</w:t>
      </w:r>
      <w:r w:rsidR="00BB5E90">
        <w:rPr>
          <w:rFonts w:cs="Arial"/>
        </w:rPr>
        <w:t>ho have</w:t>
      </w:r>
      <w:r w:rsidRPr="00526B42">
        <w:rPr>
          <w:rFonts w:cs="Arial"/>
        </w:rPr>
        <w:t xml:space="preserve"> vision and hearing </w:t>
      </w:r>
      <w:r w:rsidR="00E51BF6">
        <w:rPr>
          <w:rFonts w:cs="Arial"/>
        </w:rPr>
        <w:t>differences</w:t>
      </w:r>
      <w:r w:rsidRPr="00526B42">
        <w:rPr>
          <w:rFonts w:cs="Arial"/>
        </w:rPr>
        <w:t xml:space="preserve">, respecting </w:t>
      </w:r>
      <w:r w:rsidR="00264147">
        <w:rPr>
          <w:rFonts w:cs="Arial"/>
        </w:rPr>
        <w:t>diverse</w:t>
      </w:r>
      <w:r w:rsidR="00264147" w:rsidRPr="00526B42">
        <w:rPr>
          <w:rFonts w:cs="Arial"/>
        </w:rPr>
        <w:t xml:space="preserve"> </w:t>
      </w:r>
      <w:r w:rsidRPr="00526B42">
        <w:rPr>
          <w:rFonts w:cs="Arial"/>
        </w:rPr>
        <w:t xml:space="preserve">abilities, identity and culture. Critically our review findings reinforce, rather than reduce, social equity. </w:t>
      </w:r>
    </w:p>
    <w:p w14:paraId="44036028" w14:textId="77777777" w:rsidR="008912F1" w:rsidRPr="00526B42" w:rsidRDefault="008912F1" w:rsidP="008912F1">
      <w:pPr>
        <w:rPr>
          <w:rFonts w:cs="Arial"/>
        </w:rPr>
      </w:pPr>
      <w:r w:rsidRPr="00526B42">
        <w:rPr>
          <w:rFonts w:cs="Arial"/>
        </w:rPr>
        <w:t>We propose a set of steps to support agency in research participation and informed consent practices. These steps:</w:t>
      </w:r>
    </w:p>
    <w:p w14:paraId="508CA93C" w14:textId="77777777" w:rsidR="008912F1" w:rsidRPr="00526B42" w:rsidRDefault="008912F1" w:rsidP="008912F1">
      <w:pPr>
        <w:numPr>
          <w:ilvl w:val="0"/>
          <w:numId w:val="13"/>
        </w:numPr>
        <w:rPr>
          <w:rFonts w:cs="Arial"/>
        </w:rPr>
      </w:pPr>
      <w:r w:rsidRPr="00526B42">
        <w:rPr>
          <w:rFonts w:cs="Arial"/>
        </w:rPr>
        <w:t>Minimize reliance on diagnostic categories</w:t>
      </w:r>
      <w:r w:rsidRPr="00391E42">
        <w:rPr>
          <w:rFonts w:cs="Arial"/>
        </w:rPr>
        <w:t>.</w:t>
      </w:r>
    </w:p>
    <w:p w14:paraId="3F45404F" w14:textId="77777777" w:rsidR="008912F1" w:rsidRPr="00526B42" w:rsidRDefault="008912F1" w:rsidP="008912F1">
      <w:pPr>
        <w:numPr>
          <w:ilvl w:val="0"/>
          <w:numId w:val="13"/>
        </w:numPr>
        <w:rPr>
          <w:rFonts w:cs="Arial"/>
        </w:rPr>
      </w:pPr>
      <w:r w:rsidRPr="00526B42">
        <w:rPr>
          <w:rFonts w:cs="Arial"/>
        </w:rPr>
        <w:t>Shift from deficit-based to person-centered research designs.</w:t>
      </w:r>
    </w:p>
    <w:p w14:paraId="5EC0E48C" w14:textId="77777777" w:rsidR="008912F1" w:rsidRPr="00526B42" w:rsidRDefault="008912F1" w:rsidP="008912F1">
      <w:pPr>
        <w:numPr>
          <w:ilvl w:val="0"/>
          <w:numId w:val="13"/>
        </w:numPr>
        <w:rPr>
          <w:rFonts w:cs="Arial"/>
        </w:rPr>
      </w:pPr>
      <w:r w:rsidRPr="00526B42">
        <w:rPr>
          <w:rFonts w:cs="Arial"/>
        </w:rPr>
        <w:t>Acknowledge people's multiple identities.</w:t>
      </w:r>
    </w:p>
    <w:p w14:paraId="290CC480" w14:textId="0CB6FC5A" w:rsidR="008912F1" w:rsidRPr="00526B42" w:rsidRDefault="008912F1" w:rsidP="008912F1">
      <w:pPr>
        <w:numPr>
          <w:ilvl w:val="0"/>
          <w:numId w:val="13"/>
        </w:numPr>
        <w:rPr>
          <w:rFonts w:cs="Arial"/>
        </w:rPr>
      </w:pPr>
      <w:r w:rsidRPr="00526B42">
        <w:rPr>
          <w:rFonts w:cs="Arial"/>
        </w:rPr>
        <w:t>Include self-advocates and diverse communities as research partners.</w:t>
      </w:r>
    </w:p>
    <w:p w14:paraId="435E5945" w14:textId="6BFD9EE5" w:rsidR="008701F7" w:rsidRPr="00526B42" w:rsidRDefault="00357412" w:rsidP="00AC7E07">
      <w:pPr>
        <w:rPr>
          <w:rFonts w:cs="Arial"/>
        </w:rPr>
      </w:pPr>
      <w:r w:rsidRPr="00357412">
        <w:rPr>
          <w:rFonts w:cs="Arial"/>
        </w:rPr>
        <w:t xml:space="preserve">These steps can be operationalised through practices such </w:t>
      </w:r>
      <w:r w:rsidR="00C977A2">
        <w:rPr>
          <w:rFonts w:cs="Arial"/>
        </w:rPr>
        <w:t xml:space="preserve">as </w:t>
      </w:r>
      <w:r w:rsidRPr="00357412">
        <w:rPr>
          <w:rFonts w:cs="Arial"/>
        </w:rPr>
        <w:t>engaging community members as active partners in the consent process</w:t>
      </w:r>
      <w:r w:rsidR="004B3070">
        <w:rPr>
          <w:rFonts w:cs="Arial"/>
        </w:rPr>
        <w:t xml:space="preserve"> and process and providing </w:t>
      </w:r>
      <w:r w:rsidR="00C43CA7">
        <w:rPr>
          <w:rFonts w:cs="Arial"/>
        </w:rPr>
        <w:t>accessible information formats upfront to support individual choice and control</w:t>
      </w:r>
      <w:r w:rsidRPr="00357412">
        <w:rPr>
          <w:rFonts w:cs="Arial"/>
        </w:rPr>
        <w:t>.</w:t>
      </w:r>
      <w:r>
        <w:rPr>
          <w:rFonts w:cs="Arial"/>
        </w:rPr>
        <w:t xml:space="preserve"> </w:t>
      </w:r>
      <w:r w:rsidR="00AC7E07" w:rsidRPr="00526B42">
        <w:rPr>
          <w:rFonts w:cs="Arial"/>
        </w:rPr>
        <w:t xml:space="preserve">System changes are necessary to support </w:t>
      </w:r>
      <w:r w:rsidR="002E660C">
        <w:rPr>
          <w:rFonts w:cs="Arial"/>
        </w:rPr>
        <w:t>these</w:t>
      </w:r>
      <w:r w:rsidR="00AC7E07" w:rsidRPr="00526B42">
        <w:rPr>
          <w:rFonts w:cs="Arial"/>
        </w:rPr>
        <w:t xml:space="preserve"> recommendations</w:t>
      </w:r>
      <w:r w:rsidR="002E660C">
        <w:rPr>
          <w:rFonts w:cs="Arial"/>
        </w:rPr>
        <w:t>,</w:t>
      </w:r>
      <w:r w:rsidR="00AC7E07" w:rsidRPr="00526B42">
        <w:rPr>
          <w:rFonts w:cs="Arial"/>
        </w:rPr>
        <w:t xml:space="preserve"> with future </w:t>
      </w:r>
      <w:r w:rsidR="004002AC">
        <w:rPr>
          <w:rFonts w:cs="Arial"/>
        </w:rPr>
        <w:t>implementation research</w:t>
      </w:r>
      <w:r w:rsidR="004002AC" w:rsidRPr="00526B42">
        <w:rPr>
          <w:rFonts w:cs="Arial"/>
        </w:rPr>
        <w:t xml:space="preserve"> </w:t>
      </w:r>
      <w:r w:rsidR="00802D30">
        <w:rPr>
          <w:rFonts w:cs="Arial"/>
        </w:rPr>
        <w:t>required</w:t>
      </w:r>
      <w:r w:rsidR="00802D30" w:rsidRPr="00526B42">
        <w:rPr>
          <w:rFonts w:cs="Arial"/>
        </w:rPr>
        <w:t xml:space="preserve"> </w:t>
      </w:r>
      <w:r w:rsidR="00AC7E07" w:rsidRPr="00526B42">
        <w:rPr>
          <w:rFonts w:cs="Arial"/>
        </w:rPr>
        <w:t xml:space="preserve">to </w:t>
      </w:r>
      <w:r w:rsidR="00420918">
        <w:rPr>
          <w:rFonts w:cs="Arial"/>
        </w:rPr>
        <w:t>evaluate</w:t>
      </w:r>
      <w:r w:rsidR="00AC7E07" w:rsidRPr="00526B42">
        <w:rPr>
          <w:rFonts w:cs="Arial"/>
        </w:rPr>
        <w:t xml:space="preserve"> acceptability, feasibility and sustainability</w:t>
      </w:r>
      <w:r w:rsidR="00802D30">
        <w:rPr>
          <w:rFonts w:cs="Arial"/>
        </w:rPr>
        <w:t xml:space="preserve"> across diverse settings</w:t>
      </w:r>
      <w:r w:rsidR="00AC7E07" w:rsidRPr="00526B42">
        <w:rPr>
          <w:rFonts w:cs="Arial"/>
        </w:rPr>
        <w:t xml:space="preserve">. Partnering with the priority community, avoiding assumptions about a one-size-fits-all format, anticipating unknown </w:t>
      </w:r>
      <w:r w:rsidR="00F453D7" w:rsidRPr="00526B42">
        <w:rPr>
          <w:rFonts w:cs="Arial"/>
        </w:rPr>
        <w:t xml:space="preserve">or undisclosed </w:t>
      </w:r>
      <w:r w:rsidR="00AC7E07" w:rsidRPr="00526B42">
        <w:rPr>
          <w:rFonts w:cs="Arial"/>
        </w:rPr>
        <w:t>access needs, and striving for universal accessibility and inclusion are the recommended best practices highlighted by this review's findings.</w:t>
      </w:r>
    </w:p>
    <w:p w14:paraId="435E5946" w14:textId="77777777" w:rsidR="008701F7" w:rsidRPr="00526B42" w:rsidRDefault="00ED6592" w:rsidP="00721D8E">
      <w:pPr>
        <w:pStyle w:val="Heading1"/>
        <w:spacing w:after="240"/>
      </w:pPr>
      <w:r w:rsidRPr="00526B42">
        <w:t xml:space="preserve">Acknowledgements </w:t>
      </w:r>
    </w:p>
    <w:p w14:paraId="2D9A94C6" w14:textId="77777777" w:rsidR="00275B20" w:rsidRPr="00526B42" w:rsidRDefault="00275B20" w:rsidP="00275B20">
      <w:r w:rsidRPr="00526B42">
        <w:t xml:space="preserve">Our work is a research partnership between researchers, consumers as people with lived experience, participants in clinical research, community representatives (patient advocacy representatives, disability sector representatives) and experts in the areas of clinical practice, policy, access and inclusion. </w:t>
      </w:r>
    </w:p>
    <w:p w14:paraId="64D7478C" w14:textId="6A47B444" w:rsidR="003F23C9" w:rsidRPr="007A585E" w:rsidRDefault="003F23C9" w:rsidP="003F23C9">
      <w:r>
        <w:t>FOH</w:t>
      </w:r>
      <w:r w:rsidRPr="00830973">
        <w:t xml:space="preserve"> is supported by a scholarship from the Australian National Industry PhD Program (#34984)</w:t>
      </w:r>
      <w:r>
        <w:t>, with graduate research support provided by the</w:t>
      </w:r>
      <w:r w:rsidRPr="008B4070">
        <w:t xml:space="preserve"> </w:t>
      </w:r>
      <w:r>
        <w:t xml:space="preserve">Commonwealth through an </w:t>
      </w:r>
      <w:r w:rsidRPr="008B4070">
        <w:t>Australian Government Research Training Program</w:t>
      </w:r>
      <w:r>
        <w:t xml:space="preserve"> Scholarship [</w:t>
      </w:r>
      <w:r w:rsidRPr="00063A60">
        <w:t>DOI: https://doi.org/10.82133/C42F-K220</w:t>
      </w:r>
      <w:r>
        <w:t>]</w:t>
      </w:r>
      <w:r w:rsidRPr="00830973">
        <w:t xml:space="preserve">. </w:t>
      </w:r>
      <w:r>
        <w:t>LNA</w:t>
      </w:r>
      <w:r w:rsidRPr="00830973">
        <w:t xml:space="preserve"> is supported by a National Health and Medical Research Council Investigator Grant (GNT#1195713). </w:t>
      </w:r>
      <w:r w:rsidRPr="008B4070">
        <w:t>This research was supported by the Commonwealth through an Australian Government Research Training Program Scholarship</w:t>
      </w:r>
      <w:r>
        <w:t>.</w:t>
      </w:r>
      <w:r w:rsidRPr="008B4070">
        <w:t xml:space="preserve"> </w:t>
      </w:r>
      <w:r w:rsidRPr="00830973">
        <w:t>The Centre for Eye Research Australia</w:t>
      </w:r>
      <w:r>
        <w:t xml:space="preserve"> (CERA)</w:t>
      </w:r>
      <w:r w:rsidRPr="00830973">
        <w:t xml:space="preserve"> wishes to acknowledge the support of the Victorian Government through its Operational Infrastructure Support Program (VIC, Australia).</w:t>
      </w:r>
    </w:p>
    <w:p w14:paraId="435E594D" w14:textId="77777777" w:rsidR="008701F7" w:rsidRPr="00526B42" w:rsidRDefault="00ED6592" w:rsidP="00721D8E">
      <w:pPr>
        <w:pStyle w:val="Heading1"/>
        <w:spacing w:after="240"/>
      </w:pPr>
      <w:bookmarkStart w:id="18" w:name="_heading=h.kfy2dm2fkdqh" w:colFirst="0" w:colLast="0"/>
      <w:bookmarkStart w:id="19" w:name="_heading=h.n8uc8ogkb3r2" w:colFirst="0" w:colLast="0"/>
      <w:bookmarkEnd w:id="18"/>
      <w:bookmarkEnd w:id="19"/>
      <w:r w:rsidRPr="00526B42">
        <w:t>Data Availability Statement</w:t>
      </w:r>
    </w:p>
    <w:p w14:paraId="435E594F" w14:textId="0E5D4344" w:rsidR="008701F7" w:rsidRPr="00526B42" w:rsidRDefault="00A829E4" w:rsidP="00721D8E">
      <w:pPr>
        <w:rPr>
          <w:rFonts w:eastAsia="Times New Roman"/>
        </w:rPr>
      </w:pPr>
      <w:bookmarkStart w:id="20" w:name="_heading=h.wkjrsvjimshr" w:colFirst="0" w:colLast="0"/>
      <w:bookmarkEnd w:id="20"/>
      <w:r w:rsidRPr="00526B42">
        <w:rPr>
          <w:rFonts w:eastAsia="Times New Roman"/>
        </w:rPr>
        <w:t>Data that supports this review will be available in</w:t>
      </w:r>
      <w:r w:rsidR="00054604">
        <w:rPr>
          <w:rFonts w:eastAsia="Times New Roman"/>
        </w:rPr>
        <w:t xml:space="preserve"> </w:t>
      </w:r>
      <w:r w:rsidRPr="00526B42">
        <w:rPr>
          <w:rFonts w:eastAsia="Times New Roman"/>
        </w:rPr>
        <w:t>Minerva Access</w:t>
      </w:r>
      <w:r w:rsidR="00891A8A">
        <w:rPr>
          <w:rFonts w:eastAsia="Times New Roman"/>
        </w:rPr>
        <w:t xml:space="preserve"> and </w:t>
      </w:r>
      <w:proofErr w:type="spellStart"/>
      <w:r w:rsidR="00891A8A">
        <w:rPr>
          <w:rFonts w:eastAsia="Times New Roman"/>
        </w:rPr>
        <w:t>Figshare</w:t>
      </w:r>
      <w:proofErr w:type="spellEnd"/>
      <w:r w:rsidRPr="00526B42">
        <w:rPr>
          <w:rFonts w:eastAsia="Times New Roman"/>
        </w:rPr>
        <w:t>,</w:t>
      </w:r>
      <w:r w:rsidR="00054604">
        <w:rPr>
          <w:rFonts w:eastAsia="Times New Roman"/>
        </w:rPr>
        <w:t xml:space="preserve"> </w:t>
      </w:r>
      <w:r w:rsidRPr="00526B42">
        <w:rPr>
          <w:rFonts w:eastAsia="Times New Roman"/>
        </w:rPr>
        <w:t>open access repositor</w:t>
      </w:r>
      <w:r w:rsidR="00054604">
        <w:rPr>
          <w:rFonts w:eastAsia="Times New Roman"/>
        </w:rPr>
        <w:t>ies</w:t>
      </w:r>
      <w:r w:rsidRPr="00526B42">
        <w:rPr>
          <w:rFonts w:eastAsia="Times New Roman"/>
        </w:rPr>
        <w:t xml:space="preserve"> used by the University of Melbourne, Victoria, Australia.</w:t>
      </w:r>
    </w:p>
    <w:p w14:paraId="435E5950" w14:textId="77777777" w:rsidR="008701F7" w:rsidRPr="00526B42" w:rsidRDefault="00ED6592" w:rsidP="00721D8E">
      <w:pPr>
        <w:pStyle w:val="Heading1"/>
        <w:spacing w:after="240"/>
      </w:pPr>
      <w:bookmarkStart w:id="21" w:name="bookmark=id.1y810tw" w:colFirst="0" w:colLast="0"/>
      <w:bookmarkEnd w:id="21"/>
      <w:r w:rsidRPr="00526B42">
        <w:t xml:space="preserve">Declarations of interest </w:t>
      </w:r>
    </w:p>
    <w:p w14:paraId="435E5952" w14:textId="3FD68AE8" w:rsidR="008701F7" w:rsidRPr="00526B42" w:rsidRDefault="00EC7B56" w:rsidP="00721D8E">
      <w:r w:rsidRPr="00526B42">
        <w:t>The authors declare no competing interests.</w:t>
      </w:r>
    </w:p>
    <w:p w14:paraId="435E5953" w14:textId="77777777" w:rsidR="008701F7" w:rsidRPr="00526B42" w:rsidRDefault="00ED6592" w:rsidP="00721D8E">
      <w:pPr>
        <w:pStyle w:val="Heading2"/>
        <w:spacing w:after="240"/>
      </w:pPr>
      <w:r w:rsidRPr="00526B42">
        <w:t xml:space="preserve">Plans for updating this review </w:t>
      </w:r>
    </w:p>
    <w:p w14:paraId="096E8CE1" w14:textId="4B6BE6C7" w:rsidR="00EC7B56" w:rsidRPr="00526B42" w:rsidRDefault="00D47F26" w:rsidP="00ED18D7">
      <w:r w:rsidRPr="00526B42">
        <w:t>The protocol has been published and is also registered on PROSPERO</w:t>
      </w:r>
      <w:r w:rsidR="00701375" w:rsidRPr="00526B42">
        <w:t xml:space="preserve">. </w:t>
      </w:r>
      <w:r w:rsidR="00337889" w:rsidRPr="00526B42">
        <w:t xml:space="preserve">There are no plans to </w:t>
      </w:r>
      <w:r w:rsidR="004841BA" w:rsidRPr="00526B42">
        <w:t xml:space="preserve">update the review provided the peer review process is </w:t>
      </w:r>
      <w:r w:rsidR="00B36322" w:rsidRPr="00526B42">
        <w:t>6 months or less to publication.</w:t>
      </w:r>
    </w:p>
    <w:p w14:paraId="435E596B" w14:textId="77777777" w:rsidR="008701F7" w:rsidRPr="00526B42" w:rsidRDefault="00ED6592" w:rsidP="00721D8E">
      <w:pPr>
        <w:pStyle w:val="Heading1"/>
        <w:spacing w:after="240"/>
        <w:rPr>
          <w:rFonts w:eastAsia="Calibri"/>
        </w:rPr>
      </w:pPr>
      <w:bookmarkStart w:id="22" w:name="bookmark=id.qsh70q" w:colFirst="0" w:colLast="0"/>
      <w:bookmarkStart w:id="23" w:name="bookmark=id.49x2ik5" w:colFirst="0" w:colLast="0"/>
      <w:bookmarkEnd w:id="22"/>
      <w:bookmarkEnd w:id="23"/>
      <w:r w:rsidRPr="00526B42">
        <w:rPr>
          <w:rFonts w:ascii="Calibri" w:eastAsia="Calibri" w:hAnsi="Calibri"/>
        </w:rPr>
        <w:t xml:space="preserve">References </w:t>
      </w:r>
    </w:p>
    <w:p w14:paraId="447CD2FE" w14:textId="77777777" w:rsidR="004E4662" w:rsidRPr="00534BA0" w:rsidRDefault="004E4662" w:rsidP="004E4662">
      <w:pPr>
        <w:rPr>
          <w:rFonts w:cs="Arial"/>
          <w:sz w:val="24"/>
        </w:rPr>
      </w:pPr>
      <w:r w:rsidRPr="00534BA0">
        <w:rPr>
          <w:rFonts w:cs="Arial"/>
          <w:sz w:val="24"/>
        </w:rPr>
        <w:t xml:space="preserve">Agner, J., &amp; Braun, K. L. (2018). Patient empowerment: A critique of individualism and systematic review of patient perspectives. </w:t>
      </w:r>
      <w:r w:rsidRPr="00534BA0">
        <w:rPr>
          <w:rFonts w:cs="Arial"/>
          <w:i/>
          <w:sz w:val="24"/>
        </w:rPr>
        <w:t>Patient Educ Couns</w:t>
      </w:r>
      <w:r w:rsidRPr="00534BA0">
        <w:rPr>
          <w:rFonts w:cs="Arial"/>
          <w:sz w:val="24"/>
        </w:rPr>
        <w:t>,</w:t>
      </w:r>
      <w:r w:rsidRPr="00534BA0">
        <w:rPr>
          <w:rFonts w:cs="Arial"/>
          <w:i/>
          <w:sz w:val="24"/>
        </w:rPr>
        <w:t xml:space="preserve"> 101</w:t>
      </w:r>
      <w:r w:rsidRPr="00534BA0">
        <w:rPr>
          <w:rFonts w:cs="Arial"/>
          <w:sz w:val="24"/>
        </w:rPr>
        <w:t xml:space="preserve">(12), 2054-2064. </w:t>
      </w:r>
    </w:p>
    <w:p w14:paraId="03B72F19" w14:textId="77777777" w:rsidR="004E4662" w:rsidRPr="00534BA0" w:rsidRDefault="004E4662" w:rsidP="004E4662">
      <w:pPr>
        <w:rPr>
          <w:rFonts w:cs="Arial"/>
          <w:sz w:val="24"/>
        </w:rPr>
      </w:pPr>
      <w:r w:rsidRPr="00534BA0">
        <w:rPr>
          <w:rFonts w:cs="Arial"/>
          <w:sz w:val="24"/>
        </w:rPr>
        <w:t xml:space="preserve">Anderson, E. E., Newman, S. B., &amp; Matthews, A. K. (2017). Improving informed consent: Stakeholder views. </w:t>
      </w:r>
      <w:r w:rsidRPr="00534BA0">
        <w:rPr>
          <w:rFonts w:cs="Arial"/>
          <w:i/>
          <w:sz w:val="24"/>
        </w:rPr>
        <w:t xml:space="preserve">AJOB </w:t>
      </w:r>
      <w:proofErr w:type="spellStart"/>
      <w:r w:rsidRPr="00534BA0">
        <w:rPr>
          <w:rFonts w:cs="Arial"/>
          <w:i/>
          <w:sz w:val="24"/>
        </w:rPr>
        <w:t>Empir</w:t>
      </w:r>
      <w:proofErr w:type="spellEnd"/>
      <w:r w:rsidRPr="00534BA0">
        <w:rPr>
          <w:rFonts w:cs="Arial"/>
          <w:i/>
          <w:sz w:val="24"/>
        </w:rPr>
        <w:t xml:space="preserve"> </w:t>
      </w:r>
      <w:proofErr w:type="spellStart"/>
      <w:r w:rsidRPr="00534BA0">
        <w:rPr>
          <w:rFonts w:cs="Arial"/>
          <w:i/>
          <w:sz w:val="24"/>
        </w:rPr>
        <w:t>Bioeth</w:t>
      </w:r>
      <w:proofErr w:type="spellEnd"/>
      <w:r w:rsidRPr="00534BA0">
        <w:rPr>
          <w:rFonts w:cs="Arial"/>
          <w:sz w:val="24"/>
        </w:rPr>
        <w:t>,</w:t>
      </w:r>
      <w:r w:rsidRPr="00534BA0">
        <w:rPr>
          <w:rFonts w:cs="Arial"/>
          <w:i/>
          <w:sz w:val="24"/>
        </w:rPr>
        <w:t xml:space="preserve"> 8</w:t>
      </w:r>
      <w:r w:rsidRPr="00534BA0">
        <w:rPr>
          <w:rFonts w:cs="Arial"/>
          <w:sz w:val="24"/>
        </w:rPr>
        <w:t xml:space="preserve">(3), 178-188. </w:t>
      </w:r>
    </w:p>
    <w:p w14:paraId="259676E0" w14:textId="77777777" w:rsidR="004E4662" w:rsidRPr="00534BA0" w:rsidRDefault="004E4662" w:rsidP="004E4662">
      <w:pPr>
        <w:rPr>
          <w:rFonts w:cs="Arial"/>
          <w:sz w:val="24"/>
        </w:rPr>
      </w:pPr>
      <w:r w:rsidRPr="00534BA0">
        <w:rPr>
          <w:rFonts w:cs="Arial"/>
          <w:sz w:val="24"/>
        </w:rPr>
        <w:t xml:space="preserve">Anderson, M. L., Riker, T., </w:t>
      </w:r>
      <w:proofErr w:type="spellStart"/>
      <w:r w:rsidRPr="00534BA0">
        <w:rPr>
          <w:rFonts w:cs="Arial"/>
          <w:sz w:val="24"/>
        </w:rPr>
        <w:t>Hakulin</w:t>
      </w:r>
      <w:proofErr w:type="spellEnd"/>
      <w:r w:rsidRPr="00534BA0">
        <w:rPr>
          <w:rFonts w:cs="Arial"/>
          <w:sz w:val="24"/>
        </w:rPr>
        <w:t xml:space="preserve">, S., et al. (2020). Deaf ACCESS: Adapting Consent Through Community Engagement and State-of-the-Art Simulation. </w:t>
      </w:r>
      <w:r w:rsidRPr="00534BA0">
        <w:rPr>
          <w:rFonts w:cs="Arial"/>
          <w:i/>
          <w:sz w:val="24"/>
        </w:rPr>
        <w:t>J Deaf Stud Deaf Educ</w:t>
      </w:r>
      <w:r w:rsidRPr="00534BA0">
        <w:rPr>
          <w:rFonts w:cs="Arial"/>
          <w:sz w:val="24"/>
        </w:rPr>
        <w:t>,</w:t>
      </w:r>
      <w:r w:rsidRPr="00534BA0">
        <w:rPr>
          <w:rFonts w:cs="Arial"/>
          <w:i/>
          <w:sz w:val="24"/>
        </w:rPr>
        <w:t xml:space="preserve"> 25</w:t>
      </w:r>
      <w:r w:rsidRPr="00534BA0">
        <w:rPr>
          <w:rFonts w:cs="Arial"/>
          <w:sz w:val="24"/>
        </w:rPr>
        <w:t xml:space="preserve">(1), 115-125. </w:t>
      </w:r>
    </w:p>
    <w:p w14:paraId="185B29F9" w14:textId="77777777" w:rsidR="004E4662" w:rsidRPr="00534BA0" w:rsidRDefault="004E4662" w:rsidP="004E4662">
      <w:pPr>
        <w:rPr>
          <w:rFonts w:cs="Arial"/>
          <w:sz w:val="24"/>
        </w:rPr>
      </w:pPr>
      <w:r w:rsidRPr="00534BA0">
        <w:rPr>
          <w:rFonts w:cs="Arial"/>
          <w:sz w:val="24"/>
        </w:rPr>
        <w:t xml:space="preserve">Black, N., Murphy, M., Lamping, D., et al (1999). Consensus development methods: A review of best practice in creating clinical guidelines. </w:t>
      </w:r>
      <w:r w:rsidRPr="00534BA0">
        <w:rPr>
          <w:rFonts w:cs="Arial"/>
          <w:i/>
          <w:sz w:val="24"/>
        </w:rPr>
        <w:t>J Health Serv Res Policy</w:t>
      </w:r>
      <w:r w:rsidRPr="00534BA0">
        <w:rPr>
          <w:rFonts w:cs="Arial"/>
          <w:sz w:val="24"/>
        </w:rPr>
        <w:t>,</w:t>
      </w:r>
      <w:r w:rsidRPr="00534BA0">
        <w:rPr>
          <w:rFonts w:cs="Arial"/>
          <w:i/>
          <w:sz w:val="24"/>
        </w:rPr>
        <w:t xml:space="preserve"> 4</w:t>
      </w:r>
      <w:r w:rsidRPr="00534BA0">
        <w:rPr>
          <w:rFonts w:cs="Arial"/>
          <w:sz w:val="24"/>
        </w:rPr>
        <w:t xml:space="preserve">(4), 236-248. </w:t>
      </w:r>
    </w:p>
    <w:p w14:paraId="7C65EA94" w14:textId="77777777" w:rsidR="004E4662" w:rsidRPr="00534BA0" w:rsidRDefault="004E4662" w:rsidP="004E4662">
      <w:pPr>
        <w:rPr>
          <w:rFonts w:cs="Arial"/>
          <w:sz w:val="24"/>
        </w:rPr>
      </w:pPr>
      <w:r w:rsidRPr="00534BA0">
        <w:rPr>
          <w:rFonts w:cs="Arial"/>
          <w:sz w:val="24"/>
        </w:rPr>
        <w:t xml:space="preserve">Brunton, G., Oliver, S., &amp; Thomas, J. (2020). Innovations in framework synthesis as a systematic review method. </w:t>
      </w:r>
      <w:r w:rsidRPr="00534BA0">
        <w:rPr>
          <w:rFonts w:cs="Arial"/>
          <w:i/>
          <w:sz w:val="24"/>
        </w:rPr>
        <w:t>Res Synth Methods</w:t>
      </w:r>
      <w:r w:rsidRPr="00534BA0">
        <w:rPr>
          <w:rFonts w:cs="Arial"/>
          <w:sz w:val="24"/>
        </w:rPr>
        <w:t>,</w:t>
      </w:r>
      <w:r w:rsidRPr="00534BA0">
        <w:rPr>
          <w:rFonts w:cs="Arial"/>
          <w:i/>
          <w:sz w:val="24"/>
        </w:rPr>
        <w:t xml:space="preserve"> 11</w:t>
      </w:r>
      <w:r w:rsidRPr="00534BA0">
        <w:rPr>
          <w:rFonts w:cs="Arial"/>
          <w:sz w:val="24"/>
        </w:rPr>
        <w:t xml:space="preserve">(3), 316-330. </w:t>
      </w:r>
    </w:p>
    <w:p w14:paraId="6CE527A6" w14:textId="77777777" w:rsidR="004E4662" w:rsidRPr="00534BA0" w:rsidRDefault="004E4662" w:rsidP="004E4662">
      <w:pPr>
        <w:rPr>
          <w:rFonts w:cs="Arial"/>
          <w:sz w:val="24"/>
        </w:rPr>
      </w:pPr>
      <w:r w:rsidRPr="00534BA0">
        <w:rPr>
          <w:rFonts w:cs="Arial"/>
          <w:sz w:val="24"/>
        </w:rPr>
        <w:t xml:space="preserve">Clark, J., </w:t>
      </w:r>
      <w:proofErr w:type="spellStart"/>
      <w:r w:rsidRPr="00534BA0">
        <w:rPr>
          <w:rFonts w:cs="Arial"/>
          <w:sz w:val="24"/>
        </w:rPr>
        <w:t>Glasziou</w:t>
      </w:r>
      <w:proofErr w:type="spellEnd"/>
      <w:r w:rsidRPr="00534BA0">
        <w:rPr>
          <w:rFonts w:cs="Arial"/>
          <w:sz w:val="24"/>
        </w:rPr>
        <w:t xml:space="preserve">, P., Del Mar, C., et al. (2020). A full systematic review was completed in 2 weeks using automation tools: a case study. </w:t>
      </w:r>
      <w:r w:rsidRPr="00534BA0">
        <w:rPr>
          <w:rFonts w:cs="Arial"/>
          <w:i/>
          <w:sz w:val="24"/>
        </w:rPr>
        <w:t>J Clin Epidemiol.</w:t>
      </w:r>
      <w:r w:rsidRPr="00534BA0">
        <w:rPr>
          <w:rFonts w:cs="Arial"/>
          <w:sz w:val="24"/>
        </w:rPr>
        <w:t>,</w:t>
      </w:r>
      <w:r w:rsidRPr="00534BA0">
        <w:rPr>
          <w:rFonts w:cs="Arial"/>
          <w:i/>
          <w:sz w:val="24"/>
        </w:rPr>
        <w:t xml:space="preserve"> 28</w:t>
      </w:r>
      <w:r w:rsidRPr="00534BA0">
        <w:rPr>
          <w:rFonts w:cs="Arial"/>
          <w:sz w:val="24"/>
        </w:rPr>
        <w:t xml:space="preserve">(121), 81-90. </w:t>
      </w:r>
    </w:p>
    <w:p w14:paraId="2E2EFD1F" w14:textId="77777777" w:rsidR="004E4662" w:rsidRPr="00534BA0" w:rsidRDefault="004E4662" w:rsidP="004E4662">
      <w:pPr>
        <w:rPr>
          <w:rFonts w:cs="Arial"/>
          <w:sz w:val="24"/>
        </w:rPr>
      </w:pPr>
      <w:r w:rsidRPr="00534BA0">
        <w:rPr>
          <w:rFonts w:cs="Arial"/>
          <w:sz w:val="24"/>
        </w:rPr>
        <w:t xml:space="preserve">Coleman, E., O'Sullivan, L., Crowley, R., et al (2021). Preparing accessible and understandable clinical research participant information leaflets and consent forms: a set of guidelines from an expert consensus conference. </w:t>
      </w:r>
      <w:r w:rsidRPr="00534BA0">
        <w:rPr>
          <w:rFonts w:cs="Arial"/>
          <w:i/>
          <w:sz w:val="24"/>
        </w:rPr>
        <w:t xml:space="preserve">Res </w:t>
      </w:r>
      <w:proofErr w:type="spellStart"/>
      <w:r w:rsidRPr="00534BA0">
        <w:rPr>
          <w:rFonts w:cs="Arial"/>
          <w:i/>
          <w:sz w:val="24"/>
        </w:rPr>
        <w:t>Involv</w:t>
      </w:r>
      <w:proofErr w:type="spellEnd"/>
      <w:r w:rsidRPr="00534BA0">
        <w:rPr>
          <w:rFonts w:cs="Arial"/>
          <w:i/>
          <w:sz w:val="24"/>
        </w:rPr>
        <w:t xml:space="preserve"> </w:t>
      </w:r>
      <w:proofErr w:type="spellStart"/>
      <w:r w:rsidRPr="00534BA0">
        <w:rPr>
          <w:rFonts w:cs="Arial"/>
          <w:i/>
          <w:sz w:val="24"/>
        </w:rPr>
        <w:t>Engagem</w:t>
      </w:r>
      <w:proofErr w:type="spellEnd"/>
      <w:r w:rsidRPr="00534BA0">
        <w:rPr>
          <w:rFonts w:cs="Arial"/>
          <w:sz w:val="24"/>
        </w:rPr>
        <w:t>,</w:t>
      </w:r>
      <w:r w:rsidRPr="00534BA0">
        <w:rPr>
          <w:rFonts w:cs="Arial"/>
          <w:i/>
          <w:sz w:val="24"/>
        </w:rPr>
        <w:t xml:space="preserve"> 7</w:t>
      </w:r>
      <w:r w:rsidRPr="00534BA0">
        <w:rPr>
          <w:rFonts w:cs="Arial"/>
          <w:sz w:val="24"/>
        </w:rPr>
        <w:t xml:space="preserve">(1), 31. </w:t>
      </w:r>
      <w:hyperlink r:id="rId12" w:history="1">
        <w:r w:rsidRPr="00534BA0">
          <w:rPr>
            <w:rStyle w:val="Hyperlink"/>
            <w:rFonts w:cs="Arial"/>
            <w:color w:val="auto"/>
            <w:sz w:val="24"/>
            <w:u w:val="none"/>
          </w:rPr>
          <w:t>https://doi.org/10.1186/s40900-021-00265-2</w:t>
        </w:r>
      </w:hyperlink>
    </w:p>
    <w:p w14:paraId="5BB164CD" w14:textId="77777777" w:rsidR="004E4662" w:rsidRPr="00534BA0" w:rsidRDefault="004E4662" w:rsidP="004E4662">
      <w:pPr>
        <w:rPr>
          <w:rFonts w:cs="Arial"/>
          <w:color w:val="000000" w:themeColor="text1"/>
          <w:sz w:val="24"/>
        </w:rPr>
      </w:pPr>
      <w:r w:rsidRPr="00526B42">
        <w:rPr>
          <w:rFonts w:cs="Arial"/>
          <w:sz w:val="24"/>
        </w:rPr>
        <w:t xml:space="preserve">Department of Social Services. (2023). </w:t>
      </w:r>
      <w:r w:rsidRPr="00526B42">
        <w:rPr>
          <w:rFonts w:cs="Arial"/>
          <w:i/>
          <w:iCs/>
          <w:sz w:val="24"/>
        </w:rPr>
        <w:t>Good practice guidelines for engaging with people with disability</w:t>
      </w:r>
      <w:r w:rsidRPr="00526B42">
        <w:rPr>
          <w:rFonts w:cs="Arial"/>
          <w:sz w:val="24"/>
        </w:rPr>
        <w:t xml:space="preserve">. Commonwealth of Australia. </w:t>
      </w:r>
      <w:hyperlink r:id="rId13" w:history="1">
        <w:r w:rsidRPr="00534BA0">
          <w:rPr>
            <w:rStyle w:val="Hyperlink"/>
            <w:rFonts w:cs="Arial"/>
            <w:color w:val="000000" w:themeColor="text1"/>
            <w:sz w:val="24"/>
          </w:rPr>
          <w:t>https://www.disabilitygateway.gov.au/sites/default/files/documents/2025-06/8636-good-practice-guidelines.pdf</w:t>
        </w:r>
      </w:hyperlink>
    </w:p>
    <w:p w14:paraId="3F7504CF" w14:textId="77777777" w:rsidR="004E4662" w:rsidRPr="00526B42" w:rsidRDefault="004E4662" w:rsidP="004E4662">
      <w:pPr>
        <w:rPr>
          <w:rFonts w:cs="Arial"/>
          <w:sz w:val="24"/>
        </w:rPr>
      </w:pPr>
      <w:r w:rsidRPr="00526B42">
        <w:rPr>
          <w:rFonts w:cs="Arial"/>
          <w:sz w:val="24"/>
        </w:rPr>
        <w:t xml:space="preserve">Cooperrider, D. L., &amp; Whitney, D. (2007). Appreciative inquiry: A positive revolution in change. In P. Holman, T. Devane, &amp; S. Cady (Eds.), </w:t>
      </w:r>
      <w:r w:rsidRPr="00526B42">
        <w:rPr>
          <w:rFonts w:cs="Arial"/>
          <w:i/>
          <w:iCs/>
          <w:sz w:val="24"/>
        </w:rPr>
        <w:t>The change handbook: The definitive resource on today’s best methods for engaging whole systems</w:t>
      </w:r>
      <w:r w:rsidRPr="00526B42">
        <w:rPr>
          <w:rFonts w:cs="Arial"/>
          <w:sz w:val="24"/>
        </w:rPr>
        <w:t xml:space="preserve"> (2nd ed., pp. 245–263). Berrett-Koehler.</w:t>
      </w:r>
    </w:p>
    <w:p w14:paraId="0746481A" w14:textId="77777777" w:rsidR="004E4662" w:rsidRPr="00534BA0" w:rsidRDefault="004E4662" w:rsidP="004E4662">
      <w:pPr>
        <w:rPr>
          <w:rFonts w:cs="Arial"/>
          <w:color w:val="000000" w:themeColor="text1"/>
          <w:sz w:val="24"/>
        </w:rPr>
      </w:pPr>
      <w:r w:rsidRPr="00534BA0">
        <w:rPr>
          <w:rFonts w:cs="Arial"/>
          <w:sz w:val="24"/>
        </w:rPr>
        <w:t xml:space="preserve">Covidence systematic review software, </w:t>
      </w:r>
      <w:r w:rsidRPr="00526B42">
        <w:rPr>
          <w:rFonts w:cs="Arial"/>
          <w:sz w:val="24"/>
        </w:rPr>
        <w:t xml:space="preserve">Veritas Health Innovation. (2025). </w:t>
      </w:r>
      <w:r w:rsidRPr="00526B42">
        <w:rPr>
          <w:rFonts w:cs="Arial"/>
          <w:i/>
          <w:iCs/>
          <w:sz w:val="24"/>
        </w:rPr>
        <w:t>Covidence systematic review software</w:t>
      </w:r>
      <w:r w:rsidRPr="00526B42">
        <w:rPr>
          <w:rFonts w:cs="Arial"/>
          <w:sz w:val="24"/>
        </w:rPr>
        <w:t>. Melbourne, Aust</w:t>
      </w:r>
      <w:r w:rsidRPr="00534BA0">
        <w:rPr>
          <w:rFonts w:cs="Arial"/>
          <w:color w:val="000000" w:themeColor="text1"/>
          <w:sz w:val="24"/>
        </w:rPr>
        <w:t xml:space="preserve">ralia. </w:t>
      </w:r>
      <w:hyperlink r:id="rId14" w:history="1">
        <w:r w:rsidRPr="00534BA0">
          <w:rPr>
            <w:rStyle w:val="Hyperlink"/>
            <w:rFonts w:cs="Arial"/>
            <w:color w:val="000000" w:themeColor="text1"/>
            <w:sz w:val="24"/>
          </w:rPr>
          <w:t>https://www.covidence.org</w:t>
        </w:r>
      </w:hyperlink>
    </w:p>
    <w:p w14:paraId="2E48CB30" w14:textId="77777777" w:rsidR="004E4662" w:rsidRPr="00534BA0" w:rsidRDefault="004E4662" w:rsidP="004E4662">
      <w:pPr>
        <w:rPr>
          <w:rFonts w:cs="Arial"/>
          <w:sz w:val="24"/>
        </w:rPr>
      </w:pPr>
      <w:r w:rsidRPr="00534BA0">
        <w:rPr>
          <w:rFonts w:cs="Arial"/>
          <w:sz w:val="24"/>
        </w:rPr>
        <w:t xml:space="preserve">Damschroder, L. J., Reardon, C. M., </w:t>
      </w:r>
      <w:proofErr w:type="spellStart"/>
      <w:r w:rsidRPr="00534BA0">
        <w:rPr>
          <w:rFonts w:cs="Arial"/>
          <w:sz w:val="24"/>
        </w:rPr>
        <w:t>Widerquist</w:t>
      </w:r>
      <w:proofErr w:type="spellEnd"/>
      <w:r w:rsidRPr="00534BA0">
        <w:rPr>
          <w:rFonts w:cs="Arial"/>
          <w:sz w:val="24"/>
        </w:rPr>
        <w:t xml:space="preserve">, M. A. O., et al (2022). The updated Consolidated Framework for Implementation Research based on user feedback. </w:t>
      </w:r>
      <w:r w:rsidRPr="00534BA0">
        <w:rPr>
          <w:rFonts w:cs="Arial"/>
          <w:i/>
          <w:sz w:val="24"/>
        </w:rPr>
        <w:t>Implement Sci</w:t>
      </w:r>
      <w:r w:rsidRPr="00534BA0">
        <w:rPr>
          <w:rFonts w:cs="Arial"/>
          <w:sz w:val="24"/>
        </w:rPr>
        <w:t>,</w:t>
      </w:r>
      <w:r w:rsidRPr="00534BA0">
        <w:rPr>
          <w:rFonts w:cs="Arial"/>
          <w:i/>
          <w:sz w:val="24"/>
        </w:rPr>
        <w:t xml:space="preserve"> 17</w:t>
      </w:r>
      <w:r w:rsidRPr="00534BA0">
        <w:rPr>
          <w:rFonts w:cs="Arial"/>
          <w:sz w:val="24"/>
        </w:rPr>
        <w:t xml:space="preserve">(1), 75. </w:t>
      </w:r>
      <w:hyperlink r:id="rId15" w:history="1">
        <w:r w:rsidRPr="00534BA0">
          <w:rPr>
            <w:rStyle w:val="Hyperlink"/>
            <w:rFonts w:cs="Arial"/>
            <w:color w:val="auto"/>
            <w:sz w:val="24"/>
            <w:u w:val="none"/>
          </w:rPr>
          <w:t>https://doi.org/10.1186/s13012-022-01245-0</w:t>
        </w:r>
      </w:hyperlink>
    </w:p>
    <w:p w14:paraId="39A7BDB0" w14:textId="77777777" w:rsidR="004E4662" w:rsidRPr="00534BA0" w:rsidRDefault="004E4662" w:rsidP="004E4662">
      <w:pPr>
        <w:rPr>
          <w:rFonts w:cs="Arial"/>
          <w:color w:val="000000" w:themeColor="text1"/>
          <w:sz w:val="24"/>
        </w:rPr>
      </w:pPr>
      <w:r w:rsidRPr="00526B42">
        <w:rPr>
          <w:rFonts w:cs="Arial"/>
          <w:sz w:val="24"/>
        </w:rPr>
        <w:t xml:space="preserve">Department of Social Services. (2023). </w:t>
      </w:r>
      <w:r w:rsidRPr="00526B42">
        <w:rPr>
          <w:rFonts w:cs="Arial"/>
          <w:i/>
          <w:iCs/>
          <w:sz w:val="24"/>
        </w:rPr>
        <w:t>Good practice guidelines for engaging with people with disability</w:t>
      </w:r>
      <w:r w:rsidRPr="00526B42">
        <w:rPr>
          <w:rFonts w:cs="Arial"/>
          <w:sz w:val="24"/>
        </w:rPr>
        <w:t xml:space="preserve">. Commonwealth of Australia. </w:t>
      </w:r>
      <w:hyperlink r:id="rId16" w:history="1">
        <w:r w:rsidRPr="00534BA0">
          <w:rPr>
            <w:rStyle w:val="Hyperlink"/>
            <w:rFonts w:cs="Arial"/>
            <w:color w:val="000000" w:themeColor="text1"/>
            <w:sz w:val="24"/>
          </w:rPr>
          <w:t>https://www.disabilitygateway.gov.au/sites/default/files/documents/2025-06/8636-good-practice-guidelines.pdf</w:t>
        </w:r>
      </w:hyperlink>
    </w:p>
    <w:p w14:paraId="7324ED30" w14:textId="77777777" w:rsidR="004E4662" w:rsidRPr="00534BA0" w:rsidRDefault="004E4662" w:rsidP="004E4662">
      <w:pPr>
        <w:rPr>
          <w:rFonts w:cs="Arial"/>
          <w:sz w:val="24"/>
        </w:rPr>
      </w:pPr>
      <w:r w:rsidRPr="00534BA0">
        <w:rPr>
          <w:rFonts w:cs="Arial"/>
          <w:sz w:val="24"/>
        </w:rPr>
        <w:t xml:space="preserve">Duckett, P. S., &amp; Pratt, R. (2001). The researched opinions on research: Visually impaired people and visual impairment research. </w:t>
      </w:r>
      <w:r w:rsidRPr="00534BA0">
        <w:rPr>
          <w:rFonts w:cs="Arial"/>
          <w:i/>
          <w:sz w:val="24"/>
        </w:rPr>
        <w:t>Disability &amp; Society</w:t>
      </w:r>
      <w:r w:rsidRPr="00534BA0">
        <w:rPr>
          <w:rFonts w:cs="Arial"/>
          <w:sz w:val="24"/>
        </w:rPr>
        <w:t>,</w:t>
      </w:r>
      <w:r w:rsidRPr="00534BA0">
        <w:rPr>
          <w:rFonts w:cs="Arial"/>
          <w:i/>
          <w:sz w:val="24"/>
        </w:rPr>
        <w:t xml:space="preserve"> 16</w:t>
      </w:r>
      <w:r w:rsidRPr="00534BA0">
        <w:rPr>
          <w:rFonts w:cs="Arial"/>
          <w:sz w:val="24"/>
        </w:rPr>
        <w:t xml:space="preserve">(6), 815-835. </w:t>
      </w:r>
    </w:p>
    <w:p w14:paraId="6AAC4BFC" w14:textId="77777777" w:rsidR="004E4662" w:rsidRPr="00534BA0" w:rsidRDefault="004E4662" w:rsidP="004E4662">
      <w:pPr>
        <w:rPr>
          <w:rFonts w:cs="Arial"/>
          <w:sz w:val="24"/>
        </w:rPr>
      </w:pPr>
      <w:r w:rsidRPr="00534BA0">
        <w:rPr>
          <w:rFonts w:cs="Arial"/>
          <w:sz w:val="24"/>
        </w:rPr>
        <w:t xml:space="preserve">Dunn, M., Strnadova, I., Scully, J. L., et al. (2024). Equitable and accessible informed healthcare consent process for people with intellectual disability: A systematic literature review. </w:t>
      </w:r>
      <w:r w:rsidRPr="00534BA0">
        <w:rPr>
          <w:rFonts w:cs="Arial"/>
          <w:i/>
          <w:sz w:val="24"/>
        </w:rPr>
        <w:t>BMJ Qual Saf</w:t>
      </w:r>
      <w:r w:rsidRPr="00534BA0">
        <w:rPr>
          <w:rFonts w:cs="Arial"/>
          <w:sz w:val="24"/>
        </w:rPr>
        <w:t>,</w:t>
      </w:r>
      <w:r w:rsidRPr="00534BA0">
        <w:rPr>
          <w:rFonts w:cs="Arial"/>
          <w:i/>
          <w:sz w:val="24"/>
        </w:rPr>
        <w:t xml:space="preserve"> 33</w:t>
      </w:r>
      <w:r w:rsidRPr="00534BA0">
        <w:rPr>
          <w:rFonts w:cs="Arial"/>
          <w:sz w:val="24"/>
        </w:rPr>
        <w:t xml:space="preserve">(5), 328-339. </w:t>
      </w:r>
    </w:p>
    <w:p w14:paraId="6EEC04FF" w14:textId="77777777" w:rsidR="004E4662" w:rsidRPr="00526B42" w:rsidRDefault="004E4662" w:rsidP="004E4662">
      <w:pPr>
        <w:rPr>
          <w:sz w:val="24"/>
        </w:rPr>
      </w:pPr>
      <w:proofErr w:type="spellStart"/>
      <w:r w:rsidRPr="00534BA0">
        <w:rPr>
          <w:rFonts w:cs="Arial"/>
          <w:sz w:val="24"/>
        </w:rPr>
        <w:t>Flottorp</w:t>
      </w:r>
      <w:proofErr w:type="spellEnd"/>
      <w:r w:rsidRPr="00534BA0">
        <w:rPr>
          <w:rFonts w:cs="Arial"/>
          <w:sz w:val="24"/>
        </w:rPr>
        <w:t xml:space="preserve">, S. A., Oxman, A. D., Krause, J., et al (2013). A checklist for identifying determinants of practice: A systematic review and synthesis of frameworks and taxonomies of factors that prevent or enable improvements in healthcare professional practice. </w:t>
      </w:r>
      <w:r w:rsidRPr="00534BA0">
        <w:rPr>
          <w:rFonts w:cs="Arial"/>
          <w:i/>
          <w:sz w:val="24"/>
        </w:rPr>
        <w:t>Implement Sci</w:t>
      </w:r>
      <w:r w:rsidRPr="00534BA0">
        <w:rPr>
          <w:rFonts w:cs="Arial"/>
          <w:sz w:val="24"/>
        </w:rPr>
        <w:t>,</w:t>
      </w:r>
      <w:r w:rsidRPr="00534BA0">
        <w:rPr>
          <w:rFonts w:cs="Arial"/>
          <w:i/>
          <w:sz w:val="24"/>
        </w:rPr>
        <w:t xml:space="preserve"> 8</w:t>
      </w:r>
      <w:r w:rsidRPr="00534BA0">
        <w:rPr>
          <w:rFonts w:cs="Arial"/>
          <w:sz w:val="24"/>
        </w:rPr>
        <w:t xml:space="preserve">, 35. </w:t>
      </w:r>
      <w:hyperlink r:id="rId17" w:history="1">
        <w:r w:rsidRPr="00534BA0">
          <w:rPr>
            <w:rStyle w:val="Hyperlink"/>
            <w:rFonts w:cs="Arial"/>
            <w:color w:val="auto"/>
            <w:sz w:val="24"/>
            <w:u w:val="none"/>
          </w:rPr>
          <w:t>https://doi.org/10.1186/1748-5908-8-35</w:t>
        </w:r>
      </w:hyperlink>
    </w:p>
    <w:p w14:paraId="290452FF" w14:textId="270E4DEA" w:rsidR="007439A3" w:rsidRPr="00526B42" w:rsidRDefault="009A0705" w:rsidP="007439A3">
      <w:pPr>
        <w:rPr>
          <w:sz w:val="24"/>
        </w:rPr>
      </w:pPr>
      <w:r w:rsidRPr="00526B42">
        <w:rPr>
          <w:sz w:val="24"/>
        </w:rPr>
        <w:t>Fortune, N</w:t>
      </w:r>
      <w:r w:rsidR="00E63CFC" w:rsidRPr="00526B42">
        <w:rPr>
          <w:sz w:val="24"/>
        </w:rPr>
        <w:t xml:space="preserve">., Madden, R.H., Clifton, S. (2021). Health and access to health services for people with disability in Australia: data </w:t>
      </w:r>
      <w:r w:rsidR="00CD3454" w:rsidRPr="00526B42">
        <w:rPr>
          <w:sz w:val="24"/>
        </w:rPr>
        <w:t xml:space="preserve">and data gaps. </w:t>
      </w:r>
      <w:r w:rsidR="00CD3454" w:rsidRPr="00526B42">
        <w:rPr>
          <w:i/>
          <w:iCs/>
          <w:sz w:val="24"/>
        </w:rPr>
        <w:t>Int J Enviro Res Pub Heal</w:t>
      </w:r>
      <w:r w:rsidR="00CD3454" w:rsidRPr="00526B42">
        <w:rPr>
          <w:sz w:val="24"/>
        </w:rPr>
        <w:t xml:space="preserve">, </w:t>
      </w:r>
      <w:r w:rsidR="007439A3" w:rsidRPr="00526B42">
        <w:rPr>
          <w:i/>
          <w:iCs/>
          <w:sz w:val="24"/>
        </w:rPr>
        <w:t>18</w:t>
      </w:r>
      <w:r w:rsidR="007439A3" w:rsidRPr="00526B42">
        <w:rPr>
          <w:sz w:val="24"/>
        </w:rPr>
        <w:t>, 11705. https:// doi.org/10.3390/ijerph182111705</w:t>
      </w:r>
    </w:p>
    <w:p w14:paraId="6F888D8A" w14:textId="77777777" w:rsidR="004E4662" w:rsidRPr="00534BA0" w:rsidRDefault="004E4662" w:rsidP="004E4662">
      <w:pPr>
        <w:rPr>
          <w:rFonts w:cs="Arial"/>
          <w:sz w:val="24"/>
        </w:rPr>
      </w:pPr>
      <w:r w:rsidRPr="00534BA0">
        <w:rPr>
          <w:rFonts w:cs="Arial"/>
          <w:sz w:val="24"/>
        </w:rPr>
        <w:t xml:space="preserve">Garofalo, D. C., Rosenblum, H. A., Zhang, Y., et al (2022). Increasing inclusivity in precision medicine research: Views of deaf and hard of hearing individuals. </w:t>
      </w:r>
      <w:r w:rsidRPr="00534BA0">
        <w:rPr>
          <w:rFonts w:cs="Arial"/>
          <w:i/>
          <w:sz w:val="24"/>
        </w:rPr>
        <w:t>Genet Med</w:t>
      </w:r>
      <w:r w:rsidRPr="00534BA0">
        <w:rPr>
          <w:rFonts w:cs="Arial"/>
          <w:sz w:val="24"/>
        </w:rPr>
        <w:t>,</w:t>
      </w:r>
      <w:r w:rsidRPr="00534BA0">
        <w:rPr>
          <w:rFonts w:cs="Arial"/>
          <w:i/>
          <w:sz w:val="24"/>
        </w:rPr>
        <w:t xml:space="preserve"> 24</w:t>
      </w:r>
      <w:r w:rsidRPr="00534BA0">
        <w:rPr>
          <w:rFonts w:cs="Arial"/>
          <w:sz w:val="24"/>
        </w:rPr>
        <w:t xml:space="preserve">(3), 712-721. </w:t>
      </w:r>
    </w:p>
    <w:p w14:paraId="64AADE58" w14:textId="77777777" w:rsidR="004E4662" w:rsidRPr="00534BA0" w:rsidRDefault="004E4662" w:rsidP="004E4662">
      <w:pPr>
        <w:rPr>
          <w:rFonts w:cs="Arial"/>
          <w:sz w:val="24"/>
        </w:rPr>
      </w:pPr>
      <w:r w:rsidRPr="00534BA0">
        <w:rPr>
          <w:rFonts w:cs="Arial"/>
          <w:sz w:val="24"/>
        </w:rPr>
        <w:t xml:space="preserve">Gesualdo, F., Daverio, M., </w:t>
      </w:r>
      <w:proofErr w:type="spellStart"/>
      <w:r w:rsidRPr="00534BA0">
        <w:rPr>
          <w:rFonts w:cs="Arial"/>
          <w:sz w:val="24"/>
        </w:rPr>
        <w:t>Palazzani</w:t>
      </w:r>
      <w:proofErr w:type="spellEnd"/>
      <w:r w:rsidRPr="00534BA0">
        <w:rPr>
          <w:rFonts w:cs="Arial"/>
          <w:sz w:val="24"/>
        </w:rPr>
        <w:t xml:space="preserve">, L., et al (2021). Digital tools in the informed consent process: A systematic review. </w:t>
      </w:r>
      <w:r w:rsidRPr="00534BA0">
        <w:rPr>
          <w:rFonts w:cs="Arial"/>
          <w:i/>
          <w:sz w:val="24"/>
        </w:rPr>
        <w:t>BMC Med Ethics</w:t>
      </w:r>
      <w:r w:rsidRPr="00534BA0">
        <w:rPr>
          <w:rFonts w:cs="Arial"/>
          <w:sz w:val="24"/>
        </w:rPr>
        <w:t>,</w:t>
      </w:r>
      <w:r w:rsidRPr="00534BA0">
        <w:rPr>
          <w:rFonts w:cs="Arial"/>
          <w:i/>
          <w:sz w:val="24"/>
        </w:rPr>
        <w:t xml:space="preserve"> 22</w:t>
      </w:r>
      <w:r w:rsidRPr="00534BA0">
        <w:rPr>
          <w:rFonts w:cs="Arial"/>
          <w:sz w:val="24"/>
        </w:rPr>
        <w:t xml:space="preserve">(1), 18. </w:t>
      </w:r>
      <w:hyperlink r:id="rId18" w:history="1">
        <w:r w:rsidRPr="00534BA0">
          <w:rPr>
            <w:rStyle w:val="Hyperlink"/>
            <w:rFonts w:cs="Arial"/>
            <w:color w:val="auto"/>
            <w:sz w:val="24"/>
            <w:u w:val="none"/>
          </w:rPr>
          <w:t>https://doi.org/10.1186/s12910-021-00585-8</w:t>
        </w:r>
      </w:hyperlink>
    </w:p>
    <w:p w14:paraId="0A20AF83" w14:textId="77777777" w:rsidR="004E4662" w:rsidRPr="00534BA0" w:rsidRDefault="004E4662" w:rsidP="004E4662">
      <w:pPr>
        <w:rPr>
          <w:rFonts w:cs="Arial"/>
          <w:sz w:val="24"/>
        </w:rPr>
      </w:pPr>
      <w:r w:rsidRPr="00534BA0">
        <w:rPr>
          <w:rFonts w:cs="Arial"/>
          <w:sz w:val="24"/>
        </w:rPr>
        <w:t xml:space="preserve">Griffith, R. T. (2022). Consent and the requirement for accessible information. </w:t>
      </w:r>
      <w:r w:rsidRPr="00534BA0">
        <w:rPr>
          <w:rFonts w:cs="Arial"/>
          <w:i/>
          <w:sz w:val="24"/>
        </w:rPr>
        <w:t>Br J Nurs</w:t>
      </w:r>
      <w:r w:rsidRPr="00534BA0">
        <w:rPr>
          <w:rFonts w:cs="Arial"/>
          <w:sz w:val="24"/>
        </w:rPr>
        <w:t>,</w:t>
      </w:r>
      <w:r w:rsidRPr="00534BA0">
        <w:rPr>
          <w:rFonts w:cs="Arial"/>
          <w:i/>
          <w:sz w:val="24"/>
        </w:rPr>
        <w:t xml:space="preserve"> 31</w:t>
      </w:r>
      <w:r w:rsidRPr="00534BA0">
        <w:rPr>
          <w:rFonts w:cs="Arial"/>
          <w:sz w:val="24"/>
        </w:rPr>
        <w:t xml:space="preserve">(19), 1008-1009. </w:t>
      </w:r>
    </w:p>
    <w:p w14:paraId="27358192" w14:textId="7894694F" w:rsidR="00A86C4B" w:rsidRPr="00534BA0" w:rsidRDefault="00A86C4B" w:rsidP="004E4662">
      <w:pPr>
        <w:rPr>
          <w:rFonts w:cs="Arial"/>
          <w:sz w:val="24"/>
        </w:rPr>
      </w:pPr>
      <w:r w:rsidRPr="00534BA0">
        <w:rPr>
          <w:rFonts w:cs="Arial"/>
          <w:sz w:val="24"/>
        </w:rPr>
        <w:t>Gupta,</w:t>
      </w:r>
      <w:r w:rsidR="007B441A" w:rsidRPr="00534BA0">
        <w:rPr>
          <w:rFonts w:cs="Arial"/>
          <w:sz w:val="24"/>
        </w:rPr>
        <w:t xml:space="preserve"> U.C. (2013). Informed consent in clinical research: revisiting few concept areas. </w:t>
      </w:r>
      <w:proofErr w:type="spellStart"/>
      <w:r w:rsidR="00A42396" w:rsidRPr="00534BA0">
        <w:rPr>
          <w:rFonts w:cs="Arial"/>
          <w:i/>
          <w:iCs/>
          <w:sz w:val="24"/>
        </w:rPr>
        <w:t>Per</w:t>
      </w:r>
      <w:r w:rsidR="0032501F" w:rsidRPr="00534BA0">
        <w:rPr>
          <w:rFonts w:cs="Arial"/>
          <w:i/>
          <w:iCs/>
          <w:sz w:val="24"/>
        </w:rPr>
        <w:t>sp</w:t>
      </w:r>
      <w:proofErr w:type="spellEnd"/>
      <w:r w:rsidR="00A42396" w:rsidRPr="00534BA0">
        <w:rPr>
          <w:rFonts w:cs="Arial"/>
          <w:i/>
          <w:iCs/>
          <w:sz w:val="24"/>
        </w:rPr>
        <w:t xml:space="preserve"> clin res</w:t>
      </w:r>
      <w:r w:rsidR="00A42396" w:rsidRPr="00534BA0">
        <w:rPr>
          <w:rFonts w:cs="Arial"/>
          <w:sz w:val="24"/>
        </w:rPr>
        <w:t>, 4(1), 26–32.</w:t>
      </w:r>
    </w:p>
    <w:p w14:paraId="22F9EA64" w14:textId="77777777" w:rsidR="004E4662" w:rsidRPr="00534BA0" w:rsidRDefault="004E4662" w:rsidP="004E4662">
      <w:pPr>
        <w:rPr>
          <w:rFonts w:cs="Arial"/>
          <w:sz w:val="24"/>
        </w:rPr>
      </w:pPr>
      <w:r w:rsidRPr="00534BA0">
        <w:rPr>
          <w:rFonts w:cs="Arial"/>
          <w:sz w:val="24"/>
        </w:rPr>
        <w:t xml:space="preserve">Hagopian, C. O. (2024). From informed to empowered consent. </w:t>
      </w:r>
      <w:r w:rsidRPr="00534BA0">
        <w:rPr>
          <w:rFonts w:cs="Arial"/>
          <w:i/>
          <w:sz w:val="24"/>
        </w:rPr>
        <w:t xml:space="preserve">Nurs </w:t>
      </w:r>
      <w:proofErr w:type="spellStart"/>
      <w:r w:rsidRPr="00534BA0">
        <w:rPr>
          <w:rFonts w:cs="Arial"/>
          <w:i/>
          <w:sz w:val="24"/>
        </w:rPr>
        <w:t>Philos</w:t>
      </w:r>
      <w:proofErr w:type="spellEnd"/>
      <w:r w:rsidRPr="00534BA0">
        <w:rPr>
          <w:rFonts w:cs="Arial"/>
          <w:sz w:val="24"/>
        </w:rPr>
        <w:t>,</w:t>
      </w:r>
      <w:r w:rsidRPr="00534BA0">
        <w:rPr>
          <w:rFonts w:cs="Arial"/>
          <w:i/>
          <w:sz w:val="24"/>
        </w:rPr>
        <w:t xml:space="preserve"> 25</w:t>
      </w:r>
      <w:r w:rsidRPr="00534BA0">
        <w:rPr>
          <w:rFonts w:cs="Arial"/>
          <w:sz w:val="24"/>
        </w:rPr>
        <w:t xml:space="preserve">(1), e12475. </w:t>
      </w:r>
      <w:hyperlink r:id="rId19" w:history="1">
        <w:r w:rsidRPr="00534BA0">
          <w:rPr>
            <w:rStyle w:val="Hyperlink"/>
            <w:rFonts w:cs="Arial"/>
            <w:color w:val="auto"/>
            <w:sz w:val="24"/>
            <w:u w:val="none"/>
          </w:rPr>
          <w:t>https://doi.org/10.1111/nup.12475</w:t>
        </w:r>
      </w:hyperlink>
    </w:p>
    <w:p w14:paraId="68A1C1D6" w14:textId="77777777" w:rsidR="004E4662" w:rsidRPr="00526B42" w:rsidRDefault="004E4662" w:rsidP="004E4662">
      <w:pPr>
        <w:rPr>
          <w:rFonts w:cs="Arial"/>
          <w:sz w:val="24"/>
        </w:rPr>
      </w:pPr>
      <w:r w:rsidRPr="00526B42">
        <w:rPr>
          <w:rFonts w:cs="Arial"/>
          <w:sz w:val="24"/>
        </w:rPr>
        <w:t xml:space="preserve">Hammersley, M., &amp; Atkinson, P. (2019). </w:t>
      </w:r>
      <w:r w:rsidRPr="00526B42">
        <w:rPr>
          <w:rFonts w:cs="Arial"/>
          <w:i/>
          <w:iCs/>
          <w:sz w:val="24"/>
        </w:rPr>
        <w:t>Ethnography: Principles in practice</w:t>
      </w:r>
      <w:r w:rsidRPr="00526B42">
        <w:rPr>
          <w:rFonts w:cs="Arial"/>
          <w:sz w:val="24"/>
        </w:rPr>
        <w:t xml:space="preserve"> (4th ed.). Routledge. </w:t>
      </w:r>
      <w:hyperlink r:id="rId20" w:history="1">
        <w:r w:rsidRPr="00526B42">
          <w:rPr>
            <w:rStyle w:val="Hyperlink"/>
            <w:rFonts w:cs="Arial"/>
            <w:color w:val="auto"/>
            <w:sz w:val="24"/>
            <w:u w:val="none"/>
          </w:rPr>
          <w:t>https://doi.org/10.4324/9781315146027</w:t>
        </w:r>
      </w:hyperlink>
    </w:p>
    <w:p w14:paraId="209621D6" w14:textId="77777777" w:rsidR="004E4662" w:rsidRPr="00534BA0" w:rsidRDefault="004E4662" w:rsidP="004E4662">
      <w:pPr>
        <w:rPr>
          <w:rFonts w:cs="Arial"/>
          <w:sz w:val="24"/>
        </w:rPr>
      </w:pPr>
      <w:r w:rsidRPr="00534BA0">
        <w:rPr>
          <w:rFonts w:cs="Arial"/>
          <w:sz w:val="24"/>
        </w:rPr>
        <w:t xml:space="preserve">Hirt, J., Nordhausen, T., Fuerst, T., </w:t>
      </w:r>
      <w:r w:rsidRPr="00526B42">
        <w:rPr>
          <w:rFonts w:cs="Arial"/>
          <w:sz w:val="24"/>
        </w:rPr>
        <w:t xml:space="preserve">et al </w:t>
      </w:r>
      <w:r w:rsidRPr="00534BA0">
        <w:rPr>
          <w:rFonts w:cs="Arial"/>
          <w:sz w:val="24"/>
        </w:rPr>
        <w:t xml:space="preserve">(2024). Guidance on terminology, application, and reporting of citation searching: the </w:t>
      </w:r>
      <w:proofErr w:type="spellStart"/>
      <w:r w:rsidRPr="00534BA0">
        <w:rPr>
          <w:rFonts w:cs="Arial"/>
          <w:sz w:val="24"/>
        </w:rPr>
        <w:t>TARCiS</w:t>
      </w:r>
      <w:proofErr w:type="spellEnd"/>
      <w:r w:rsidRPr="00534BA0">
        <w:rPr>
          <w:rFonts w:cs="Arial"/>
          <w:sz w:val="24"/>
        </w:rPr>
        <w:t xml:space="preserve"> statement. </w:t>
      </w:r>
      <w:r w:rsidRPr="00534BA0">
        <w:rPr>
          <w:rFonts w:cs="Arial"/>
          <w:i/>
          <w:sz w:val="24"/>
        </w:rPr>
        <w:t>BMJ</w:t>
      </w:r>
      <w:r w:rsidRPr="00534BA0">
        <w:rPr>
          <w:rFonts w:cs="Arial"/>
          <w:sz w:val="24"/>
        </w:rPr>
        <w:t>,</w:t>
      </w:r>
      <w:r w:rsidRPr="00534BA0">
        <w:rPr>
          <w:rFonts w:cs="Arial"/>
          <w:i/>
          <w:sz w:val="24"/>
        </w:rPr>
        <w:t xml:space="preserve"> 385</w:t>
      </w:r>
      <w:r w:rsidRPr="00534BA0">
        <w:rPr>
          <w:rFonts w:cs="Arial"/>
          <w:sz w:val="24"/>
        </w:rPr>
        <w:t xml:space="preserve">, e078384. </w:t>
      </w:r>
      <w:hyperlink r:id="rId21" w:history="1">
        <w:r w:rsidRPr="00534BA0">
          <w:rPr>
            <w:rStyle w:val="Hyperlink"/>
            <w:rFonts w:cs="Arial"/>
            <w:color w:val="auto"/>
            <w:sz w:val="24"/>
            <w:u w:val="none"/>
          </w:rPr>
          <w:t>https://doi.org/10.1136/bmj-2023-078384</w:t>
        </w:r>
      </w:hyperlink>
    </w:p>
    <w:p w14:paraId="3A9CC238" w14:textId="77777777" w:rsidR="004E4662" w:rsidRPr="00534BA0" w:rsidRDefault="004E4662" w:rsidP="004E4662">
      <w:pPr>
        <w:rPr>
          <w:rFonts w:cs="Arial"/>
          <w:color w:val="000000" w:themeColor="text1"/>
          <w:sz w:val="24"/>
        </w:rPr>
      </w:pPr>
      <w:r w:rsidRPr="00526B42">
        <w:rPr>
          <w:rFonts w:cs="Arial"/>
          <w:sz w:val="24"/>
        </w:rPr>
        <w:t xml:space="preserve">International Council for Harmonisation of Technical Requirements for Pharmaceuticals for Human Use (ICH). (2025). </w:t>
      </w:r>
      <w:r w:rsidRPr="00526B42">
        <w:rPr>
          <w:rFonts w:cs="Arial"/>
          <w:i/>
          <w:iCs/>
          <w:sz w:val="24"/>
        </w:rPr>
        <w:t>ICH harmonised guideline: Guideline for good clinical practice E6(R3)</w:t>
      </w:r>
      <w:r w:rsidRPr="00526B42">
        <w:rPr>
          <w:rFonts w:cs="Arial"/>
          <w:sz w:val="24"/>
        </w:rPr>
        <w:t xml:space="preserve">. </w:t>
      </w:r>
      <w:hyperlink r:id="rId22" w:history="1">
        <w:r w:rsidRPr="00534BA0">
          <w:rPr>
            <w:rStyle w:val="Hyperlink"/>
            <w:rFonts w:cs="Arial"/>
            <w:color w:val="000000" w:themeColor="text1"/>
            <w:sz w:val="24"/>
          </w:rPr>
          <w:t>https://database.ich.org/sites/default/files/ICH_E6%28R3%29_Step4_FinalGuideline_2025_0106.pdf</w:t>
        </w:r>
      </w:hyperlink>
    </w:p>
    <w:p w14:paraId="2AD3B004" w14:textId="77777777" w:rsidR="004E4662" w:rsidRPr="00526B42" w:rsidRDefault="004E4662" w:rsidP="004E4662">
      <w:pPr>
        <w:rPr>
          <w:rFonts w:cs="Arial"/>
          <w:sz w:val="24"/>
        </w:rPr>
      </w:pPr>
      <w:r w:rsidRPr="00526B42">
        <w:rPr>
          <w:rFonts w:cs="Arial"/>
          <w:sz w:val="24"/>
        </w:rPr>
        <w:t xml:space="preserve">Jaiswal, A., Aldersey, H. M., &amp; Wittich, W. (2020). Conducting qualitative research with individuals living with </w:t>
      </w:r>
      <w:proofErr w:type="spellStart"/>
      <w:r w:rsidRPr="00526B42">
        <w:rPr>
          <w:rFonts w:cs="Arial"/>
          <w:sz w:val="24"/>
        </w:rPr>
        <w:t>deafblindness</w:t>
      </w:r>
      <w:proofErr w:type="spellEnd"/>
      <w:r w:rsidRPr="00526B42">
        <w:rPr>
          <w:rFonts w:cs="Arial"/>
          <w:sz w:val="24"/>
        </w:rPr>
        <w:t xml:space="preserve">. </w:t>
      </w:r>
      <w:r w:rsidRPr="00526B42">
        <w:rPr>
          <w:rFonts w:cs="Arial"/>
          <w:i/>
          <w:iCs/>
          <w:sz w:val="24"/>
        </w:rPr>
        <w:t>SAGE Research Methods Cases: Medicine and Health</w:t>
      </w:r>
      <w:r w:rsidRPr="00526B42">
        <w:rPr>
          <w:rFonts w:cs="Arial"/>
          <w:sz w:val="24"/>
        </w:rPr>
        <w:t>. https://doi.org/10.4135/9781529734751</w:t>
      </w:r>
    </w:p>
    <w:p w14:paraId="161462D8" w14:textId="77777777" w:rsidR="004E4662" w:rsidRPr="00534BA0" w:rsidRDefault="004E4662" w:rsidP="004E4662">
      <w:pPr>
        <w:rPr>
          <w:rFonts w:cs="Arial"/>
          <w:sz w:val="24"/>
        </w:rPr>
      </w:pPr>
      <w:r w:rsidRPr="00534BA0">
        <w:rPr>
          <w:rFonts w:cs="Arial"/>
          <w:sz w:val="24"/>
        </w:rPr>
        <w:t xml:space="preserve">Jawa, N. A., Boyd, J. G., </w:t>
      </w:r>
      <w:proofErr w:type="spellStart"/>
      <w:r w:rsidRPr="00534BA0">
        <w:rPr>
          <w:rFonts w:cs="Arial"/>
          <w:sz w:val="24"/>
        </w:rPr>
        <w:t>Maslove</w:t>
      </w:r>
      <w:proofErr w:type="spellEnd"/>
      <w:r w:rsidRPr="00534BA0">
        <w:rPr>
          <w:rFonts w:cs="Arial"/>
          <w:sz w:val="24"/>
        </w:rPr>
        <w:t xml:space="preserve">, D. M., Scott, S. H., &amp; Silver, S. A. (2023). Informed consent practices in clinical research: Present and future. </w:t>
      </w:r>
      <w:r w:rsidRPr="00534BA0">
        <w:rPr>
          <w:rFonts w:cs="Arial"/>
          <w:i/>
          <w:sz w:val="24"/>
        </w:rPr>
        <w:t>Postgrad Med J</w:t>
      </w:r>
      <w:r w:rsidRPr="00534BA0">
        <w:rPr>
          <w:rFonts w:cs="Arial"/>
          <w:sz w:val="24"/>
        </w:rPr>
        <w:t>,</w:t>
      </w:r>
      <w:r w:rsidRPr="00534BA0">
        <w:rPr>
          <w:rFonts w:cs="Arial"/>
          <w:i/>
          <w:sz w:val="24"/>
        </w:rPr>
        <w:t xml:space="preserve"> 99</w:t>
      </w:r>
      <w:r w:rsidRPr="00534BA0">
        <w:rPr>
          <w:rFonts w:cs="Arial"/>
          <w:sz w:val="24"/>
        </w:rPr>
        <w:t xml:space="preserve">(1175), 1033-1042. </w:t>
      </w:r>
    </w:p>
    <w:p w14:paraId="2720C6B2" w14:textId="77777777" w:rsidR="004E4662" w:rsidRPr="00534BA0" w:rsidRDefault="004E4662" w:rsidP="004E4662">
      <w:pPr>
        <w:rPr>
          <w:rFonts w:cs="Arial"/>
          <w:sz w:val="24"/>
        </w:rPr>
      </w:pPr>
      <w:r w:rsidRPr="00534BA0">
        <w:rPr>
          <w:rFonts w:cs="Arial"/>
          <w:sz w:val="24"/>
        </w:rPr>
        <w:t xml:space="preserve">Kiernan, A., Fahey, B., &amp; </w:t>
      </w:r>
      <w:proofErr w:type="spellStart"/>
      <w:r w:rsidRPr="00534BA0">
        <w:rPr>
          <w:rFonts w:cs="Arial"/>
          <w:sz w:val="24"/>
        </w:rPr>
        <w:t>Guraya</w:t>
      </w:r>
      <w:proofErr w:type="spellEnd"/>
      <w:r w:rsidRPr="00534BA0">
        <w:rPr>
          <w:rFonts w:cs="Arial"/>
          <w:sz w:val="24"/>
        </w:rPr>
        <w:t xml:space="preserve">, S. S. e. a. (2023). Digital technology in informed consent for surgery: Systematic review. </w:t>
      </w:r>
      <w:r w:rsidRPr="00534BA0">
        <w:rPr>
          <w:rFonts w:cs="Arial"/>
          <w:i/>
          <w:sz w:val="24"/>
        </w:rPr>
        <w:t>BJS Open</w:t>
      </w:r>
      <w:r w:rsidRPr="00534BA0">
        <w:rPr>
          <w:rFonts w:cs="Arial"/>
          <w:sz w:val="24"/>
        </w:rPr>
        <w:t>,</w:t>
      </w:r>
      <w:r w:rsidRPr="00534BA0">
        <w:rPr>
          <w:rFonts w:cs="Arial"/>
          <w:i/>
          <w:sz w:val="24"/>
        </w:rPr>
        <w:t xml:space="preserve"> 7</w:t>
      </w:r>
      <w:r w:rsidRPr="00534BA0">
        <w:rPr>
          <w:rFonts w:cs="Arial"/>
          <w:sz w:val="24"/>
        </w:rPr>
        <w:t xml:space="preserve">(1). </w:t>
      </w:r>
      <w:hyperlink r:id="rId23" w:history="1">
        <w:r w:rsidRPr="00534BA0">
          <w:rPr>
            <w:rStyle w:val="Hyperlink"/>
            <w:rFonts w:cs="Arial"/>
            <w:color w:val="auto"/>
            <w:sz w:val="24"/>
            <w:u w:val="none"/>
          </w:rPr>
          <w:t>https://doi.org/10.1093/bjsopen/zrac159</w:t>
        </w:r>
      </w:hyperlink>
    </w:p>
    <w:p w14:paraId="2F73666B" w14:textId="77777777" w:rsidR="004E4662" w:rsidRPr="00534BA0" w:rsidRDefault="004E4662" w:rsidP="004E4662">
      <w:pPr>
        <w:rPr>
          <w:rFonts w:cs="Arial"/>
          <w:sz w:val="24"/>
        </w:rPr>
      </w:pPr>
      <w:r w:rsidRPr="00534BA0">
        <w:rPr>
          <w:rFonts w:cs="Arial"/>
          <w:sz w:val="24"/>
        </w:rPr>
        <w:t xml:space="preserve">Kim, H. N., &amp; </w:t>
      </w:r>
      <w:proofErr w:type="spellStart"/>
      <w:r w:rsidRPr="00534BA0">
        <w:rPr>
          <w:rFonts w:cs="Arial"/>
          <w:sz w:val="24"/>
        </w:rPr>
        <w:t>Sutharson</w:t>
      </w:r>
      <w:proofErr w:type="spellEnd"/>
      <w:r w:rsidRPr="00534BA0">
        <w:rPr>
          <w:rFonts w:cs="Arial"/>
          <w:sz w:val="24"/>
        </w:rPr>
        <w:t xml:space="preserve">, S. (2021). Concerns and needs of research participants with visual disabilities amid the COVID-19 pandemic. </w:t>
      </w:r>
      <w:r w:rsidRPr="00534BA0">
        <w:rPr>
          <w:rFonts w:cs="Arial"/>
          <w:i/>
          <w:sz w:val="24"/>
        </w:rPr>
        <w:t>Theoretical Issues in Ergonomics Science.</w:t>
      </w:r>
      <w:r w:rsidRPr="00534BA0">
        <w:rPr>
          <w:rFonts w:cs="Arial"/>
          <w:sz w:val="24"/>
        </w:rPr>
        <w:t>,</w:t>
      </w:r>
      <w:r w:rsidRPr="00534BA0">
        <w:rPr>
          <w:rFonts w:cs="Arial"/>
          <w:i/>
          <w:sz w:val="24"/>
        </w:rPr>
        <w:t xml:space="preserve"> 23</w:t>
      </w:r>
      <w:r w:rsidRPr="00534BA0">
        <w:rPr>
          <w:rFonts w:cs="Arial"/>
          <w:sz w:val="24"/>
        </w:rPr>
        <w:t xml:space="preserve">(3), 277-289. </w:t>
      </w:r>
    </w:p>
    <w:p w14:paraId="792CE2D8" w14:textId="77777777" w:rsidR="004E4662" w:rsidRPr="00534BA0" w:rsidRDefault="004E4662" w:rsidP="004E4662">
      <w:pPr>
        <w:rPr>
          <w:rFonts w:cs="Arial"/>
          <w:sz w:val="24"/>
        </w:rPr>
      </w:pPr>
      <w:r w:rsidRPr="00534BA0">
        <w:rPr>
          <w:rFonts w:cs="Arial"/>
          <w:sz w:val="24"/>
        </w:rPr>
        <w:t xml:space="preserve">Kmet, L. M., Cook, L. S., &amp; Lee, R. C. (2004). </w:t>
      </w:r>
      <w:r w:rsidRPr="00534BA0">
        <w:rPr>
          <w:rFonts w:cs="Arial"/>
          <w:i/>
          <w:sz w:val="24"/>
        </w:rPr>
        <w:t xml:space="preserve">Standard Quality Assessment Criteria for Evaluating Primary Research Papers from a Variety of Fields. Available from: </w:t>
      </w:r>
      <w:hyperlink r:id="rId24" w:history="1">
        <w:r w:rsidRPr="00534BA0">
          <w:rPr>
            <w:rStyle w:val="Hyperlink"/>
            <w:rFonts w:cs="Arial"/>
            <w:i/>
            <w:color w:val="000000" w:themeColor="text1"/>
            <w:sz w:val="24"/>
          </w:rPr>
          <w:t>https://era.library.ualberta.ca/items/48b9b989-c221-4df6-9e35-af782082280e</w:t>
        </w:r>
      </w:hyperlink>
      <w:r w:rsidRPr="00534BA0">
        <w:rPr>
          <w:rFonts w:cs="Arial"/>
          <w:sz w:val="24"/>
        </w:rPr>
        <w:t>.</w:t>
      </w:r>
    </w:p>
    <w:p w14:paraId="4A077FB7" w14:textId="77777777" w:rsidR="004E4662" w:rsidRPr="00534BA0" w:rsidRDefault="004E4662" w:rsidP="004E4662">
      <w:pPr>
        <w:rPr>
          <w:rFonts w:cs="Arial"/>
          <w:sz w:val="24"/>
        </w:rPr>
      </w:pPr>
      <w:r w:rsidRPr="00534BA0">
        <w:rPr>
          <w:rFonts w:cs="Arial"/>
          <w:sz w:val="24"/>
        </w:rPr>
        <w:t xml:space="preserve">Krawczyk, T., Piasecki, J., </w:t>
      </w:r>
      <w:proofErr w:type="spellStart"/>
      <w:r w:rsidRPr="00534BA0">
        <w:rPr>
          <w:rFonts w:cs="Arial"/>
          <w:sz w:val="24"/>
        </w:rPr>
        <w:t>Wasylewski</w:t>
      </w:r>
      <w:proofErr w:type="spellEnd"/>
      <w:r w:rsidRPr="00534BA0">
        <w:rPr>
          <w:rFonts w:cs="Arial"/>
          <w:sz w:val="24"/>
        </w:rPr>
        <w:t xml:space="preserve">, M., &amp; Waligora, M. (2024). Ethics of research engagement with Deaf people. A qualitative evidence synthesis. </w:t>
      </w:r>
      <w:r w:rsidRPr="00534BA0">
        <w:rPr>
          <w:rFonts w:cs="Arial"/>
          <w:i/>
          <w:sz w:val="24"/>
        </w:rPr>
        <w:t>Journal of Deaf Studies and Deaf Education</w:t>
      </w:r>
      <w:r w:rsidRPr="00534BA0">
        <w:rPr>
          <w:rFonts w:cs="Arial"/>
          <w:sz w:val="24"/>
        </w:rPr>
        <w:t>,</w:t>
      </w:r>
      <w:r w:rsidRPr="00534BA0">
        <w:rPr>
          <w:rFonts w:cs="Arial"/>
          <w:i/>
          <w:sz w:val="24"/>
        </w:rPr>
        <w:t xml:space="preserve"> 29</w:t>
      </w:r>
      <w:r w:rsidRPr="00534BA0">
        <w:rPr>
          <w:rFonts w:cs="Arial"/>
          <w:sz w:val="24"/>
        </w:rPr>
        <w:t>(4), 443-455.</w:t>
      </w:r>
    </w:p>
    <w:p w14:paraId="5BFB0983" w14:textId="36224509" w:rsidR="004E4662" w:rsidRPr="00534BA0" w:rsidRDefault="004E4662" w:rsidP="004E4662">
      <w:pPr>
        <w:rPr>
          <w:rFonts w:cs="Arial"/>
          <w:sz w:val="24"/>
        </w:rPr>
      </w:pPr>
      <w:r w:rsidRPr="00534BA0">
        <w:rPr>
          <w:rFonts w:cs="Arial"/>
          <w:sz w:val="24"/>
        </w:rPr>
        <w:t xml:space="preserve">Kushalnagar, P., Nicolarakis, O., Mirus, G., et al (2023). Barriers and facilitators to the inclusion of deaf people in clinical trials. </w:t>
      </w:r>
      <w:r w:rsidRPr="00534BA0">
        <w:rPr>
          <w:rFonts w:cs="Arial"/>
          <w:i/>
          <w:sz w:val="24"/>
        </w:rPr>
        <w:t>Clin Trials</w:t>
      </w:r>
      <w:r w:rsidRPr="00534BA0">
        <w:rPr>
          <w:rFonts w:cs="Arial"/>
          <w:sz w:val="24"/>
        </w:rPr>
        <w:t>,</w:t>
      </w:r>
      <w:r w:rsidRPr="00534BA0">
        <w:rPr>
          <w:rFonts w:cs="Arial"/>
          <w:i/>
          <w:sz w:val="24"/>
        </w:rPr>
        <w:t xml:space="preserve"> 20</w:t>
      </w:r>
      <w:r w:rsidRPr="00534BA0">
        <w:rPr>
          <w:rFonts w:cs="Arial"/>
          <w:sz w:val="24"/>
        </w:rPr>
        <w:t xml:space="preserve">(5), 576-580. </w:t>
      </w:r>
    </w:p>
    <w:p w14:paraId="48A8D3E9" w14:textId="77777777" w:rsidR="004E4662" w:rsidRPr="00534BA0" w:rsidRDefault="004E4662" w:rsidP="004E4662">
      <w:pPr>
        <w:rPr>
          <w:rFonts w:cs="Arial"/>
          <w:sz w:val="24"/>
        </w:rPr>
      </w:pPr>
      <w:r w:rsidRPr="00534BA0">
        <w:rPr>
          <w:rFonts w:cs="Arial"/>
          <w:sz w:val="24"/>
        </w:rPr>
        <w:t xml:space="preserve">Land, V., R. Parry, Seymour., J., et al (2017). Communication practices that encourage and constrain shared decision making in health-care encounters: Systematic review of conversation analytic research. </w:t>
      </w:r>
      <w:r w:rsidRPr="00534BA0">
        <w:rPr>
          <w:rFonts w:cs="Arial"/>
          <w:i/>
          <w:sz w:val="24"/>
        </w:rPr>
        <w:t>Health Expectations</w:t>
      </w:r>
      <w:r w:rsidRPr="00534BA0">
        <w:rPr>
          <w:rFonts w:cs="Arial"/>
          <w:sz w:val="24"/>
        </w:rPr>
        <w:t>,</w:t>
      </w:r>
      <w:r w:rsidRPr="00534BA0">
        <w:rPr>
          <w:rFonts w:cs="Arial"/>
          <w:i/>
          <w:sz w:val="24"/>
        </w:rPr>
        <w:t xml:space="preserve"> 20</w:t>
      </w:r>
      <w:r w:rsidRPr="00534BA0">
        <w:rPr>
          <w:rFonts w:cs="Arial"/>
          <w:sz w:val="24"/>
        </w:rPr>
        <w:t xml:space="preserve">(6), 1228-1247. </w:t>
      </w:r>
    </w:p>
    <w:p w14:paraId="0FD66C03" w14:textId="77777777" w:rsidR="004E4662" w:rsidRPr="00534BA0" w:rsidRDefault="004E4662" w:rsidP="004E4662">
      <w:pPr>
        <w:rPr>
          <w:rFonts w:cs="Arial"/>
          <w:sz w:val="24"/>
        </w:rPr>
      </w:pPr>
      <w:r w:rsidRPr="00534BA0">
        <w:rPr>
          <w:rFonts w:cs="Arial"/>
          <w:sz w:val="24"/>
        </w:rPr>
        <w:t xml:space="preserve">Lewin, S., Bohren, M., Rashidian, A (2018). Applying GRADE-CERQual to qualitative evidence synthesis findings-paper 2: how to make an overall CERQual assessment of confidence and create a Summary of Qualitative Findings table. </w:t>
      </w:r>
      <w:r w:rsidRPr="00534BA0">
        <w:rPr>
          <w:rFonts w:cs="Arial"/>
          <w:i/>
          <w:sz w:val="24"/>
        </w:rPr>
        <w:t>Implement Sci</w:t>
      </w:r>
      <w:r w:rsidRPr="00534BA0">
        <w:rPr>
          <w:rFonts w:cs="Arial"/>
          <w:sz w:val="24"/>
        </w:rPr>
        <w:t>,</w:t>
      </w:r>
      <w:r w:rsidRPr="00534BA0">
        <w:rPr>
          <w:rFonts w:cs="Arial"/>
          <w:i/>
          <w:sz w:val="24"/>
        </w:rPr>
        <w:t xml:space="preserve"> 13</w:t>
      </w:r>
      <w:r w:rsidRPr="00534BA0">
        <w:rPr>
          <w:rFonts w:cs="Arial"/>
          <w:sz w:val="24"/>
        </w:rPr>
        <w:t xml:space="preserve">(Suppl 1), 10. </w:t>
      </w:r>
      <w:hyperlink r:id="rId25" w:history="1">
        <w:r w:rsidRPr="00534BA0">
          <w:rPr>
            <w:rStyle w:val="Hyperlink"/>
            <w:rFonts w:cs="Arial"/>
            <w:color w:val="auto"/>
            <w:sz w:val="24"/>
            <w:u w:val="none"/>
          </w:rPr>
          <w:t>https://doi.org/10.1186/s13012-017-0689-2</w:t>
        </w:r>
      </w:hyperlink>
    </w:p>
    <w:p w14:paraId="2FFA64D1" w14:textId="77777777" w:rsidR="004E4662" w:rsidRPr="00534BA0" w:rsidRDefault="004E4662" w:rsidP="004E4662">
      <w:pPr>
        <w:rPr>
          <w:rFonts w:cs="Arial"/>
          <w:sz w:val="24"/>
        </w:rPr>
      </w:pPr>
      <w:r w:rsidRPr="00534BA0">
        <w:rPr>
          <w:rFonts w:cs="Arial"/>
          <w:sz w:val="24"/>
        </w:rPr>
        <w:t xml:space="preserve">Lewin, S., Booth, A., Glenton, C., (2018). Applying GRADE-CERQual to qualitative evidence synthesis findings: introduction to the series. </w:t>
      </w:r>
      <w:r w:rsidRPr="00534BA0">
        <w:rPr>
          <w:rFonts w:cs="Arial"/>
          <w:i/>
          <w:sz w:val="24"/>
        </w:rPr>
        <w:t>Implement Sci</w:t>
      </w:r>
      <w:r w:rsidRPr="00534BA0">
        <w:rPr>
          <w:rFonts w:cs="Arial"/>
          <w:sz w:val="24"/>
        </w:rPr>
        <w:t>,</w:t>
      </w:r>
      <w:r w:rsidRPr="00534BA0">
        <w:rPr>
          <w:rFonts w:cs="Arial"/>
          <w:i/>
          <w:sz w:val="24"/>
        </w:rPr>
        <w:t xml:space="preserve"> 13</w:t>
      </w:r>
      <w:r w:rsidRPr="00534BA0">
        <w:rPr>
          <w:rFonts w:cs="Arial"/>
          <w:sz w:val="24"/>
        </w:rPr>
        <w:t xml:space="preserve">(Suppl 1), 2. </w:t>
      </w:r>
      <w:hyperlink r:id="rId26" w:history="1">
        <w:r w:rsidRPr="00534BA0">
          <w:rPr>
            <w:rStyle w:val="Hyperlink"/>
            <w:rFonts w:cs="Arial"/>
            <w:color w:val="auto"/>
            <w:sz w:val="24"/>
            <w:u w:val="none"/>
          </w:rPr>
          <w:t>https://doi.org/10.1186/s13012-017-0688-3</w:t>
        </w:r>
      </w:hyperlink>
    </w:p>
    <w:p w14:paraId="33FA6278" w14:textId="77777777" w:rsidR="004E4662" w:rsidRPr="00534BA0" w:rsidRDefault="004E4662" w:rsidP="004E4662">
      <w:pPr>
        <w:rPr>
          <w:rFonts w:cs="Arial"/>
          <w:sz w:val="24"/>
        </w:rPr>
      </w:pPr>
      <w:r w:rsidRPr="00534BA0">
        <w:rPr>
          <w:rFonts w:cs="Arial"/>
          <w:sz w:val="24"/>
        </w:rPr>
        <w:t xml:space="preserve">Lockwood, C., Munn, Z., &amp; Porritt, K. (2015). Qualitative research synthesis: methodological guidance for systematic reviewers utilizing meta-aggregation. </w:t>
      </w:r>
      <w:r w:rsidRPr="00534BA0">
        <w:rPr>
          <w:rFonts w:cs="Arial"/>
          <w:i/>
          <w:sz w:val="24"/>
        </w:rPr>
        <w:t xml:space="preserve">Int J Evid Based </w:t>
      </w:r>
      <w:proofErr w:type="spellStart"/>
      <w:r w:rsidRPr="00534BA0">
        <w:rPr>
          <w:rFonts w:cs="Arial"/>
          <w:i/>
          <w:sz w:val="24"/>
        </w:rPr>
        <w:t>Healthc</w:t>
      </w:r>
      <w:proofErr w:type="spellEnd"/>
      <w:r w:rsidRPr="00534BA0">
        <w:rPr>
          <w:rFonts w:cs="Arial"/>
          <w:sz w:val="24"/>
        </w:rPr>
        <w:t>,</w:t>
      </w:r>
      <w:r w:rsidRPr="00534BA0">
        <w:rPr>
          <w:rFonts w:cs="Arial"/>
          <w:i/>
          <w:sz w:val="24"/>
        </w:rPr>
        <w:t xml:space="preserve"> 13</w:t>
      </w:r>
      <w:r w:rsidRPr="00534BA0">
        <w:rPr>
          <w:rFonts w:cs="Arial"/>
          <w:sz w:val="24"/>
        </w:rPr>
        <w:t xml:space="preserve">(3), 179-187. </w:t>
      </w:r>
    </w:p>
    <w:p w14:paraId="27A06671" w14:textId="77777777" w:rsidR="004E4662" w:rsidRPr="00534BA0" w:rsidRDefault="004E4662" w:rsidP="004E4662">
      <w:pPr>
        <w:rPr>
          <w:rFonts w:cs="Arial"/>
          <w:sz w:val="24"/>
        </w:rPr>
      </w:pPr>
      <w:r w:rsidRPr="00534BA0">
        <w:rPr>
          <w:rFonts w:cs="Arial"/>
          <w:sz w:val="24"/>
        </w:rPr>
        <w:t xml:space="preserve">Lutz, D., Fisher, K. R., &amp; Robinson, S. (2016). Sharing the focus: engaging with support workers to include people with communication needs in research. </w:t>
      </w:r>
      <w:r w:rsidRPr="00534BA0">
        <w:rPr>
          <w:rFonts w:cs="Arial"/>
          <w:i/>
          <w:sz w:val="24"/>
        </w:rPr>
        <w:t>British Journal of Learning Disabilities</w:t>
      </w:r>
      <w:r w:rsidRPr="00534BA0">
        <w:rPr>
          <w:rFonts w:cs="Arial"/>
          <w:sz w:val="24"/>
        </w:rPr>
        <w:t>,</w:t>
      </w:r>
      <w:r w:rsidRPr="00534BA0">
        <w:rPr>
          <w:rFonts w:cs="Arial"/>
          <w:i/>
          <w:sz w:val="24"/>
        </w:rPr>
        <w:t xml:space="preserve"> 44</w:t>
      </w:r>
      <w:r w:rsidRPr="00534BA0">
        <w:rPr>
          <w:rFonts w:cs="Arial"/>
          <w:sz w:val="24"/>
        </w:rPr>
        <w:t>(2), 138-145.</w:t>
      </w:r>
    </w:p>
    <w:p w14:paraId="4F86D684" w14:textId="77777777" w:rsidR="004E4662" w:rsidRPr="00534BA0" w:rsidRDefault="004E4662" w:rsidP="004E4662">
      <w:pPr>
        <w:rPr>
          <w:rFonts w:cs="Arial"/>
          <w:sz w:val="24"/>
        </w:rPr>
      </w:pPr>
      <w:r w:rsidRPr="00534BA0">
        <w:rPr>
          <w:rFonts w:cs="Arial"/>
          <w:sz w:val="24"/>
        </w:rPr>
        <w:t xml:space="preserve">Markman, K. M., Brewer, S. K., &amp; Magnuson, B. (2023). Developing an engaging and accessible clinical research training program for new investigators. </w:t>
      </w:r>
      <w:r w:rsidRPr="00534BA0">
        <w:rPr>
          <w:rFonts w:cs="Arial"/>
          <w:i/>
          <w:sz w:val="24"/>
        </w:rPr>
        <w:t>J Clin Transl Sci</w:t>
      </w:r>
      <w:r w:rsidRPr="00534BA0">
        <w:rPr>
          <w:rFonts w:cs="Arial"/>
          <w:sz w:val="24"/>
        </w:rPr>
        <w:t>,</w:t>
      </w:r>
      <w:r w:rsidRPr="00534BA0">
        <w:rPr>
          <w:rFonts w:cs="Arial"/>
          <w:i/>
          <w:sz w:val="24"/>
        </w:rPr>
        <w:t xml:space="preserve"> 7</w:t>
      </w:r>
      <w:r w:rsidRPr="00534BA0">
        <w:rPr>
          <w:rFonts w:cs="Arial"/>
          <w:sz w:val="24"/>
        </w:rPr>
        <w:t xml:space="preserve">(1), e53. </w:t>
      </w:r>
      <w:hyperlink r:id="rId27" w:history="1">
        <w:r w:rsidRPr="00534BA0">
          <w:rPr>
            <w:rStyle w:val="Hyperlink"/>
            <w:rFonts w:cs="Arial"/>
            <w:color w:val="auto"/>
            <w:sz w:val="24"/>
            <w:u w:val="none"/>
          </w:rPr>
          <w:t>https://doi.org/10.1017/cts.2022.446</w:t>
        </w:r>
      </w:hyperlink>
    </w:p>
    <w:p w14:paraId="02E05B27" w14:textId="77777777" w:rsidR="004E4662" w:rsidRPr="00534BA0" w:rsidRDefault="004E4662" w:rsidP="004E4662">
      <w:pPr>
        <w:rPr>
          <w:rFonts w:cs="Arial"/>
          <w:sz w:val="24"/>
        </w:rPr>
      </w:pPr>
      <w:r w:rsidRPr="00534BA0">
        <w:rPr>
          <w:rFonts w:cs="Arial"/>
          <w:sz w:val="24"/>
        </w:rPr>
        <w:t xml:space="preserve">Markman, K. M., Weicker, N. P., Klein, A. K., &amp; Sege, R. (2023). Community-engaged training in informed consent. </w:t>
      </w:r>
      <w:r w:rsidRPr="00534BA0">
        <w:rPr>
          <w:rFonts w:cs="Arial"/>
          <w:i/>
          <w:sz w:val="24"/>
        </w:rPr>
        <w:t>Journal of Clinical and Translational Science</w:t>
      </w:r>
      <w:r w:rsidRPr="00534BA0">
        <w:rPr>
          <w:rFonts w:cs="Arial"/>
          <w:sz w:val="24"/>
        </w:rPr>
        <w:t>,</w:t>
      </w:r>
      <w:r w:rsidRPr="00534BA0">
        <w:rPr>
          <w:rFonts w:cs="Arial"/>
          <w:i/>
          <w:sz w:val="24"/>
        </w:rPr>
        <w:t xml:space="preserve"> 7</w:t>
      </w:r>
      <w:r w:rsidRPr="00534BA0">
        <w:rPr>
          <w:rFonts w:cs="Arial"/>
          <w:sz w:val="24"/>
        </w:rPr>
        <w:t xml:space="preserve">(1). </w:t>
      </w:r>
      <w:hyperlink r:id="rId28" w:history="1">
        <w:r w:rsidRPr="00534BA0">
          <w:rPr>
            <w:rStyle w:val="Hyperlink"/>
            <w:rFonts w:cs="Arial"/>
            <w:color w:val="auto"/>
            <w:sz w:val="24"/>
            <w:u w:val="none"/>
          </w:rPr>
          <w:t>https://doi.org/10.1017/cts.2023.534</w:t>
        </w:r>
      </w:hyperlink>
    </w:p>
    <w:p w14:paraId="7415886F" w14:textId="77777777" w:rsidR="004E4662" w:rsidRPr="00534BA0" w:rsidRDefault="004E4662" w:rsidP="004E4662">
      <w:pPr>
        <w:rPr>
          <w:rFonts w:cs="Arial"/>
          <w:sz w:val="24"/>
        </w:rPr>
      </w:pPr>
      <w:r w:rsidRPr="00534BA0">
        <w:rPr>
          <w:rFonts w:cs="Arial"/>
          <w:sz w:val="24"/>
        </w:rPr>
        <w:t xml:space="preserve">McCaughey, T., Liang, H. H., Chen, C., et al (2016). An interactive multimedia approach to improving informed consent for induced pluripotent stem cell research. </w:t>
      </w:r>
      <w:r w:rsidRPr="00534BA0">
        <w:rPr>
          <w:rFonts w:cs="Arial"/>
          <w:i/>
          <w:sz w:val="24"/>
        </w:rPr>
        <w:t>Cell Stem Cell</w:t>
      </w:r>
      <w:r w:rsidRPr="00534BA0">
        <w:rPr>
          <w:rFonts w:cs="Arial"/>
          <w:sz w:val="24"/>
        </w:rPr>
        <w:t>,</w:t>
      </w:r>
      <w:r w:rsidRPr="00534BA0">
        <w:rPr>
          <w:rFonts w:cs="Arial"/>
          <w:i/>
          <w:sz w:val="24"/>
        </w:rPr>
        <w:t xml:space="preserve"> 18</w:t>
      </w:r>
      <w:r w:rsidRPr="00534BA0">
        <w:rPr>
          <w:rFonts w:cs="Arial"/>
          <w:sz w:val="24"/>
        </w:rPr>
        <w:t xml:space="preserve">(3), 307-308. </w:t>
      </w:r>
    </w:p>
    <w:p w14:paraId="791FFD0A" w14:textId="77777777" w:rsidR="004E4662" w:rsidRPr="00534BA0" w:rsidRDefault="004E4662" w:rsidP="004E4662">
      <w:pPr>
        <w:rPr>
          <w:rFonts w:cs="Arial"/>
          <w:sz w:val="24"/>
        </w:rPr>
      </w:pPr>
      <w:r w:rsidRPr="00534BA0">
        <w:rPr>
          <w:rFonts w:cs="Arial"/>
          <w:sz w:val="24"/>
        </w:rPr>
        <w:t xml:space="preserve">McGrath, C., Mohler, E., McFarland, J., et al (2025). Research practices to foster accessibility for, and the inclusivity of, older adults with vision loss: examples from a critical participatory study. </w:t>
      </w:r>
      <w:r w:rsidRPr="00534BA0">
        <w:rPr>
          <w:rFonts w:cs="Arial"/>
          <w:i/>
          <w:sz w:val="24"/>
        </w:rPr>
        <w:t>International Journal of Qualitative Methods</w:t>
      </w:r>
      <w:r w:rsidRPr="00534BA0">
        <w:rPr>
          <w:rFonts w:cs="Arial"/>
          <w:sz w:val="24"/>
        </w:rPr>
        <w:t>,</w:t>
      </w:r>
      <w:r w:rsidRPr="00534BA0">
        <w:rPr>
          <w:rFonts w:cs="Arial"/>
          <w:i/>
          <w:sz w:val="24"/>
        </w:rPr>
        <w:t xml:space="preserve"> 24</w:t>
      </w:r>
      <w:r w:rsidRPr="00534BA0">
        <w:rPr>
          <w:rFonts w:cs="Arial"/>
          <w:sz w:val="24"/>
        </w:rPr>
        <w:t xml:space="preserve">, 16094069251316214. </w:t>
      </w:r>
      <w:hyperlink r:id="rId29" w:history="1">
        <w:r w:rsidRPr="00534BA0">
          <w:rPr>
            <w:rStyle w:val="Hyperlink"/>
            <w:rFonts w:cs="Arial"/>
            <w:color w:val="auto"/>
            <w:sz w:val="24"/>
            <w:u w:val="none"/>
          </w:rPr>
          <w:t>https://doi.org/10.1177/16094069251316214</w:t>
        </w:r>
      </w:hyperlink>
    </w:p>
    <w:p w14:paraId="5B3B5CFF" w14:textId="77777777" w:rsidR="004E4662" w:rsidRPr="00534BA0" w:rsidRDefault="004E4662" w:rsidP="004E4662">
      <w:pPr>
        <w:rPr>
          <w:rFonts w:cs="Arial"/>
          <w:sz w:val="24"/>
        </w:rPr>
      </w:pPr>
      <w:r w:rsidRPr="00534BA0">
        <w:rPr>
          <w:rFonts w:cs="Arial"/>
          <w:sz w:val="24"/>
        </w:rPr>
        <w:t xml:space="preserve">McWhirter, R. E., &amp; Eckstein., L. (2018). Moving Forward on Consent Practices in Australia. </w:t>
      </w:r>
      <w:r w:rsidRPr="00534BA0">
        <w:rPr>
          <w:rFonts w:cs="Arial"/>
          <w:i/>
          <w:sz w:val="24"/>
        </w:rPr>
        <w:t>Journal of Bioethical Inquiry</w:t>
      </w:r>
      <w:r w:rsidRPr="00534BA0">
        <w:rPr>
          <w:rFonts w:cs="Arial"/>
          <w:sz w:val="24"/>
        </w:rPr>
        <w:t>,</w:t>
      </w:r>
      <w:r w:rsidRPr="00534BA0">
        <w:rPr>
          <w:rFonts w:cs="Arial"/>
          <w:i/>
          <w:sz w:val="24"/>
        </w:rPr>
        <w:t xml:space="preserve"> 15</w:t>
      </w:r>
      <w:r w:rsidRPr="00534BA0">
        <w:rPr>
          <w:rFonts w:cs="Arial"/>
          <w:sz w:val="24"/>
        </w:rPr>
        <w:t xml:space="preserve">(2), 243-257. </w:t>
      </w:r>
    </w:p>
    <w:p w14:paraId="0F6B7FED" w14:textId="77777777" w:rsidR="004E4662" w:rsidRPr="00534BA0" w:rsidRDefault="004E4662" w:rsidP="004E4662">
      <w:pPr>
        <w:rPr>
          <w:rFonts w:cs="Arial"/>
          <w:sz w:val="24"/>
        </w:rPr>
      </w:pPr>
      <w:r w:rsidRPr="00534BA0">
        <w:rPr>
          <w:rFonts w:cs="Arial"/>
          <w:sz w:val="24"/>
        </w:rPr>
        <w:t xml:space="preserve">Morgan, M. F., Moni, K. B., &amp; </w:t>
      </w:r>
      <w:proofErr w:type="spellStart"/>
      <w:r w:rsidRPr="00534BA0">
        <w:rPr>
          <w:rFonts w:cs="Arial"/>
          <w:sz w:val="24"/>
        </w:rPr>
        <w:t>Cuskelly</w:t>
      </w:r>
      <w:proofErr w:type="spellEnd"/>
      <w:r w:rsidRPr="00534BA0">
        <w:rPr>
          <w:rFonts w:cs="Arial"/>
          <w:sz w:val="24"/>
        </w:rPr>
        <w:t xml:space="preserve">, M. (2015). The Development of Research Skills in Young Adults with Intellectual Disability in Participatory Research. </w:t>
      </w:r>
      <w:r w:rsidRPr="00534BA0">
        <w:rPr>
          <w:rFonts w:cs="Arial"/>
          <w:i/>
          <w:sz w:val="24"/>
        </w:rPr>
        <w:t>AEI</w:t>
      </w:r>
      <w:r w:rsidRPr="00534BA0">
        <w:rPr>
          <w:rFonts w:cs="Arial"/>
          <w:sz w:val="24"/>
        </w:rPr>
        <w:t xml:space="preserve">, 438-457. </w:t>
      </w:r>
      <w:hyperlink r:id="rId30" w:history="1">
        <w:r w:rsidRPr="00534BA0">
          <w:rPr>
            <w:rStyle w:val="Hyperlink"/>
            <w:rFonts w:cs="Arial"/>
            <w:color w:val="auto"/>
            <w:sz w:val="24"/>
            <w:u w:val="none"/>
          </w:rPr>
          <w:t>https://doi.org/10.3316/aeipt.208010</w:t>
        </w:r>
      </w:hyperlink>
    </w:p>
    <w:p w14:paraId="2A17600B" w14:textId="77777777" w:rsidR="004E4662" w:rsidRPr="00534BA0" w:rsidRDefault="004E4662" w:rsidP="004E4662">
      <w:pPr>
        <w:rPr>
          <w:rFonts w:cs="Arial"/>
          <w:sz w:val="24"/>
        </w:rPr>
      </w:pPr>
      <w:r w:rsidRPr="00534BA0">
        <w:rPr>
          <w:rFonts w:cs="Arial"/>
          <w:sz w:val="24"/>
        </w:rPr>
        <w:t xml:space="preserve">Munn, Z., Porritt, K., Lockwood, C., et al (2014). Establishing confidence in the output of qualitative research synthesis: the </w:t>
      </w:r>
      <w:proofErr w:type="spellStart"/>
      <w:r w:rsidRPr="00534BA0">
        <w:rPr>
          <w:rFonts w:cs="Arial"/>
          <w:sz w:val="24"/>
        </w:rPr>
        <w:t>ConQual</w:t>
      </w:r>
      <w:proofErr w:type="spellEnd"/>
      <w:r w:rsidRPr="00534BA0">
        <w:rPr>
          <w:rFonts w:cs="Arial"/>
          <w:sz w:val="24"/>
        </w:rPr>
        <w:t xml:space="preserve"> approach. </w:t>
      </w:r>
      <w:r w:rsidRPr="00534BA0">
        <w:rPr>
          <w:rFonts w:cs="Arial"/>
          <w:i/>
          <w:sz w:val="24"/>
        </w:rPr>
        <w:t xml:space="preserve">BMC Med Res </w:t>
      </w:r>
      <w:proofErr w:type="spellStart"/>
      <w:r w:rsidRPr="00534BA0">
        <w:rPr>
          <w:rFonts w:cs="Arial"/>
          <w:i/>
          <w:sz w:val="24"/>
        </w:rPr>
        <w:t>Methodol</w:t>
      </w:r>
      <w:proofErr w:type="spellEnd"/>
      <w:r w:rsidRPr="00534BA0">
        <w:rPr>
          <w:rFonts w:cs="Arial"/>
          <w:sz w:val="24"/>
        </w:rPr>
        <w:t>,</w:t>
      </w:r>
      <w:r w:rsidRPr="00534BA0">
        <w:rPr>
          <w:rFonts w:cs="Arial"/>
          <w:i/>
          <w:sz w:val="24"/>
        </w:rPr>
        <w:t xml:space="preserve"> 14</w:t>
      </w:r>
      <w:r w:rsidRPr="00534BA0">
        <w:rPr>
          <w:rFonts w:cs="Arial"/>
          <w:sz w:val="24"/>
        </w:rPr>
        <w:t xml:space="preserve">, 108. </w:t>
      </w:r>
      <w:hyperlink r:id="rId31" w:history="1">
        <w:r w:rsidRPr="00534BA0">
          <w:rPr>
            <w:rStyle w:val="Hyperlink"/>
            <w:rFonts w:cs="Arial"/>
            <w:color w:val="auto"/>
            <w:sz w:val="24"/>
            <w:u w:val="none"/>
          </w:rPr>
          <w:t>https://doi.org/10.1186/1471-2288-14-108</w:t>
        </w:r>
      </w:hyperlink>
    </w:p>
    <w:p w14:paraId="2A93CFA6" w14:textId="10F5D86F" w:rsidR="004E4662" w:rsidRPr="00534BA0" w:rsidRDefault="004E4662" w:rsidP="004E4662">
      <w:pPr>
        <w:rPr>
          <w:rFonts w:cs="Arial"/>
          <w:color w:val="000000" w:themeColor="text1"/>
          <w:sz w:val="24"/>
        </w:rPr>
      </w:pPr>
      <w:r w:rsidRPr="00526B42">
        <w:rPr>
          <w:rFonts w:cs="Arial"/>
          <w:sz w:val="24"/>
        </w:rPr>
        <w:t xml:space="preserve">National Health and Medical Research Council, Australian Research Council, &amp; Universities Australia. (2018). </w:t>
      </w:r>
      <w:r w:rsidRPr="00526B42">
        <w:rPr>
          <w:rFonts w:cs="Arial"/>
          <w:i/>
          <w:iCs/>
          <w:sz w:val="24"/>
        </w:rPr>
        <w:t>Australian Code for the Responsible Conduct of Research</w:t>
      </w:r>
      <w:r w:rsidRPr="00526B42">
        <w:rPr>
          <w:rFonts w:cs="Arial"/>
          <w:sz w:val="24"/>
        </w:rPr>
        <w:t xml:space="preserve">. Commonwealth of Australia. </w:t>
      </w:r>
      <w:hyperlink r:id="rId32" w:history="1">
        <w:r w:rsidRPr="00534BA0">
          <w:rPr>
            <w:rStyle w:val="Hyperlink"/>
            <w:rFonts w:cs="Arial"/>
            <w:color w:val="000000" w:themeColor="text1"/>
            <w:sz w:val="24"/>
          </w:rPr>
          <w:t>https://www.nhmrc.gov.au/about-us/publications/australian-code-responsible-conduct-research-2018</w:t>
        </w:r>
      </w:hyperlink>
    </w:p>
    <w:p w14:paraId="0391D745" w14:textId="77777777" w:rsidR="004E4662" w:rsidRPr="00534BA0" w:rsidRDefault="004E4662" w:rsidP="004E4662">
      <w:pPr>
        <w:rPr>
          <w:rFonts w:cs="Arial"/>
          <w:color w:val="000000" w:themeColor="text1"/>
          <w:sz w:val="24"/>
        </w:rPr>
      </w:pPr>
      <w:r w:rsidRPr="00526B42">
        <w:rPr>
          <w:rFonts w:cs="Arial"/>
          <w:sz w:val="24"/>
        </w:rPr>
        <w:t xml:space="preserve">Australian Council for International Development. (2017). </w:t>
      </w:r>
      <w:r w:rsidRPr="00526B42">
        <w:rPr>
          <w:rFonts w:cs="Arial"/>
          <w:i/>
          <w:iCs/>
          <w:sz w:val="24"/>
        </w:rPr>
        <w:t>Principles and guidelines for ethical research and evaluation in development</w:t>
      </w:r>
      <w:r w:rsidRPr="00526B42">
        <w:rPr>
          <w:rFonts w:cs="Arial"/>
          <w:sz w:val="24"/>
        </w:rPr>
        <w:t xml:space="preserve">. </w:t>
      </w:r>
      <w:hyperlink r:id="rId33" w:history="1">
        <w:r w:rsidRPr="00534BA0">
          <w:rPr>
            <w:rStyle w:val="Hyperlink"/>
            <w:rFonts w:cs="Arial"/>
            <w:color w:val="000000" w:themeColor="text1"/>
            <w:sz w:val="24"/>
          </w:rPr>
          <w:t>https://acfid.asn.au/sites/site.acfid/files/resource_document/ACFID_RDI%20Principles%20and%20Guidelines%20for%20ethical%20research12-07-2017.pdf</w:t>
        </w:r>
      </w:hyperlink>
    </w:p>
    <w:p w14:paraId="0CFC1BE1" w14:textId="77777777" w:rsidR="004E4662" w:rsidRPr="00534BA0" w:rsidRDefault="004E4662" w:rsidP="004E4662">
      <w:pPr>
        <w:rPr>
          <w:rFonts w:cs="Arial"/>
          <w:color w:val="000000" w:themeColor="text1"/>
          <w:sz w:val="24"/>
        </w:rPr>
      </w:pPr>
      <w:r w:rsidRPr="00526B42">
        <w:rPr>
          <w:rFonts w:cs="Arial"/>
          <w:sz w:val="24"/>
        </w:rPr>
        <w:t xml:space="preserve">Research for Development Impact Network, CBM Australia, &amp; Nossal Institute for Global Health. (2020). </w:t>
      </w:r>
      <w:r w:rsidRPr="00526B42">
        <w:rPr>
          <w:rFonts w:cs="Arial"/>
          <w:i/>
          <w:iCs/>
          <w:sz w:val="24"/>
        </w:rPr>
        <w:t>Research for all: Making development research inclusive of people with disabilities</w:t>
      </w:r>
      <w:r w:rsidRPr="00526B42">
        <w:rPr>
          <w:rFonts w:cs="Arial"/>
          <w:sz w:val="24"/>
        </w:rPr>
        <w:t xml:space="preserve">. </w:t>
      </w:r>
      <w:hyperlink r:id="rId34" w:history="1">
        <w:r w:rsidRPr="00534BA0">
          <w:rPr>
            <w:rStyle w:val="Hyperlink"/>
            <w:rFonts w:cs="Arial"/>
            <w:color w:val="000000" w:themeColor="text1"/>
            <w:sz w:val="24"/>
          </w:rPr>
          <w:t>https://mspgh.unimelb.edu.au/__data/assets/pdf_file/0006/5131878/Making-research-inclusive-of-people-with-disabilities.pdf</w:t>
        </w:r>
      </w:hyperlink>
    </w:p>
    <w:p w14:paraId="3EC647DA" w14:textId="77777777" w:rsidR="004E4662" w:rsidRPr="00534BA0" w:rsidRDefault="004E4662" w:rsidP="004E4662">
      <w:pPr>
        <w:rPr>
          <w:rFonts w:cs="Arial"/>
          <w:color w:val="000000" w:themeColor="text1"/>
          <w:sz w:val="24"/>
        </w:rPr>
      </w:pPr>
      <w:r w:rsidRPr="00526B42">
        <w:rPr>
          <w:rFonts w:cs="Arial"/>
          <w:sz w:val="24"/>
        </w:rPr>
        <w:t xml:space="preserve">National Health and Medical Research Council, Australian Research Council, &amp; Universities Australia. (2023). </w:t>
      </w:r>
      <w:r w:rsidRPr="00526B42">
        <w:rPr>
          <w:rFonts w:cs="Arial"/>
          <w:i/>
          <w:iCs/>
          <w:sz w:val="24"/>
        </w:rPr>
        <w:t>National statement on ethical conduct in human research</w:t>
      </w:r>
      <w:r w:rsidRPr="00526B42">
        <w:rPr>
          <w:rFonts w:cs="Arial"/>
          <w:sz w:val="24"/>
        </w:rPr>
        <w:t xml:space="preserve">. National Health and Medical Research Council. </w:t>
      </w:r>
      <w:hyperlink r:id="rId35" w:history="1">
        <w:r w:rsidRPr="00534BA0">
          <w:rPr>
            <w:rStyle w:val="Hyperlink"/>
            <w:rFonts w:cs="Arial"/>
            <w:color w:val="000000" w:themeColor="text1"/>
            <w:sz w:val="24"/>
          </w:rPr>
          <w:t>https://www.nhmrc.gov.au/about-us/publications/national-statement-ethical-conduct-human-research-2023</w:t>
        </w:r>
      </w:hyperlink>
    </w:p>
    <w:p w14:paraId="57BF4A1D" w14:textId="44C43151" w:rsidR="004E4662" w:rsidRPr="00526B42" w:rsidRDefault="00CA31A8" w:rsidP="004E4662">
      <w:pPr>
        <w:rPr>
          <w:rFonts w:cs="Arial"/>
          <w:sz w:val="24"/>
        </w:rPr>
      </w:pPr>
      <w:r>
        <w:rPr>
          <w:rFonts w:cs="Arial"/>
          <w:sz w:val="24"/>
        </w:rPr>
        <w:t>O’Hare</w:t>
      </w:r>
      <w:r w:rsidR="007D2AB4">
        <w:rPr>
          <w:rFonts w:cs="Arial"/>
          <w:sz w:val="24"/>
        </w:rPr>
        <w:t>, F</w:t>
      </w:r>
      <w:r w:rsidR="005E51FC">
        <w:rPr>
          <w:rFonts w:cs="Arial"/>
          <w:sz w:val="24"/>
        </w:rPr>
        <w:t>.</w:t>
      </w:r>
      <w:r w:rsidR="007D2AB4">
        <w:rPr>
          <w:rFonts w:cs="Arial"/>
          <w:sz w:val="24"/>
        </w:rPr>
        <w:t xml:space="preserve">, </w:t>
      </w:r>
      <w:r w:rsidR="005E51FC" w:rsidRPr="005E51FC">
        <w:rPr>
          <w:rFonts w:cs="Arial"/>
          <w:sz w:val="24"/>
        </w:rPr>
        <w:t>Thrimawithana</w:t>
      </w:r>
      <w:r w:rsidR="005E51FC">
        <w:rPr>
          <w:rFonts w:cs="Arial"/>
          <w:sz w:val="24"/>
        </w:rPr>
        <w:t xml:space="preserve">, S., </w:t>
      </w:r>
      <w:r w:rsidR="00923140">
        <w:rPr>
          <w:rFonts w:cs="Arial"/>
          <w:sz w:val="24"/>
        </w:rPr>
        <w:t>Clague, A.,</w:t>
      </w:r>
      <w:r w:rsidR="004E4662" w:rsidRPr="00526B42">
        <w:rPr>
          <w:rFonts w:cs="Arial"/>
          <w:sz w:val="24"/>
        </w:rPr>
        <w:t xml:space="preserve"> et al (2025). </w:t>
      </w:r>
      <w:r w:rsidR="004E4662" w:rsidRPr="00526B42">
        <w:rPr>
          <w:rFonts w:cs="Arial"/>
          <w:i/>
          <w:iCs/>
          <w:sz w:val="24"/>
        </w:rPr>
        <w:t>Protocol: Strategies to enhance inclusion in informed consent practice for people with vision and/or hearing support needs: A systematic review</w:t>
      </w:r>
      <w:r w:rsidR="004E4662" w:rsidRPr="00526B42">
        <w:rPr>
          <w:rFonts w:cs="Arial"/>
          <w:sz w:val="24"/>
        </w:rPr>
        <w:t xml:space="preserve">. </w:t>
      </w:r>
      <w:r w:rsidR="004E4662" w:rsidRPr="00526B42">
        <w:rPr>
          <w:rFonts w:cs="Arial"/>
          <w:i/>
          <w:iCs/>
          <w:sz w:val="24"/>
        </w:rPr>
        <w:t>Campbell Systematic Reviews</w:t>
      </w:r>
      <w:r w:rsidR="004E4662" w:rsidRPr="00526B42">
        <w:rPr>
          <w:rFonts w:cs="Arial"/>
          <w:sz w:val="24"/>
        </w:rPr>
        <w:t xml:space="preserve">. </w:t>
      </w:r>
      <w:hyperlink r:id="rId36" w:history="1">
        <w:r w:rsidR="004E4662" w:rsidRPr="00526B42">
          <w:rPr>
            <w:rStyle w:val="Hyperlink"/>
            <w:rFonts w:cs="Arial"/>
            <w:color w:val="auto"/>
            <w:sz w:val="24"/>
            <w:u w:val="none"/>
          </w:rPr>
          <w:t>https://onlinelibrary.wiley.com/doi/pdf/10.1002/cl2.70065</w:t>
        </w:r>
      </w:hyperlink>
    </w:p>
    <w:p w14:paraId="608B2528" w14:textId="77777777" w:rsidR="004E4662" w:rsidRPr="00534BA0" w:rsidRDefault="004E4662" w:rsidP="004E4662">
      <w:pPr>
        <w:rPr>
          <w:rFonts w:cs="Arial"/>
          <w:sz w:val="24"/>
        </w:rPr>
      </w:pPr>
      <w:r w:rsidRPr="00534BA0">
        <w:rPr>
          <w:rFonts w:cs="Arial"/>
          <w:sz w:val="24"/>
        </w:rPr>
        <w:t xml:space="preserve">O'Sullivan, L., Feeney, L., Crowley, R. K., et al (2021). An evaluation of the process of informed consent: Views from research participants and staff. </w:t>
      </w:r>
      <w:r w:rsidRPr="00534BA0">
        <w:rPr>
          <w:rFonts w:cs="Arial"/>
          <w:i/>
          <w:sz w:val="24"/>
        </w:rPr>
        <w:t>Trials</w:t>
      </w:r>
      <w:r w:rsidRPr="00534BA0">
        <w:rPr>
          <w:rFonts w:cs="Arial"/>
          <w:sz w:val="24"/>
        </w:rPr>
        <w:t>,</w:t>
      </w:r>
      <w:r w:rsidRPr="00534BA0">
        <w:rPr>
          <w:rFonts w:cs="Arial"/>
          <w:i/>
          <w:sz w:val="24"/>
        </w:rPr>
        <w:t xml:space="preserve"> 22</w:t>
      </w:r>
      <w:r w:rsidRPr="00534BA0">
        <w:rPr>
          <w:rFonts w:cs="Arial"/>
          <w:sz w:val="24"/>
        </w:rPr>
        <w:t xml:space="preserve">(1), 544. </w:t>
      </w:r>
      <w:hyperlink r:id="rId37" w:history="1">
        <w:r w:rsidRPr="00534BA0">
          <w:rPr>
            <w:rStyle w:val="Hyperlink"/>
            <w:rFonts w:cs="Arial"/>
            <w:color w:val="auto"/>
            <w:sz w:val="24"/>
            <w:u w:val="none"/>
          </w:rPr>
          <w:t>https://doi.org/10.1186/s13063-021-05493-1</w:t>
        </w:r>
      </w:hyperlink>
    </w:p>
    <w:p w14:paraId="551D5B94" w14:textId="77777777" w:rsidR="004E4662" w:rsidRPr="00534BA0" w:rsidRDefault="004E4662" w:rsidP="004E4662">
      <w:pPr>
        <w:rPr>
          <w:rFonts w:cs="Arial"/>
          <w:sz w:val="24"/>
        </w:rPr>
      </w:pPr>
      <w:r w:rsidRPr="00534BA0">
        <w:rPr>
          <w:rFonts w:cs="Arial"/>
          <w:sz w:val="24"/>
        </w:rPr>
        <w:t xml:space="preserve">Olkin, R. (2004). Making research accessible to participants with disabilities. </w:t>
      </w:r>
      <w:r w:rsidRPr="00534BA0">
        <w:rPr>
          <w:rFonts w:cs="Arial"/>
          <w:i/>
          <w:sz w:val="24"/>
        </w:rPr>
        <w:t xml:space="preserve">Journal of Multicultural </w:t>
      </w:r>
      <w:proofErr w:type="spellStart"/>
      <w:r w:rsidRPr="00534BA0">
        <w:rPr>
          <w:rFonts w:cs="Arial"/>
          <w:i/>
          <w:sz w:val="24"/>
        </w:rPr>
        <w:t>Counseling</w:t>
      </w:r>
      <w:proofErr w:type="spellEnd"/>
      <w:r w:rsidRPr="00534BA0">
        <w:rPr>
          <w:rFonts w:cs="Arial"/>
          <w:i/>
          <w:sz w:val="24"/>
        </w:rPr>
        <w:t xml:space="preserve"> and Development. 32</w:t>
      </w:r>
      <w:r w:rsidRPr="00534BA0">
        <w:rPr>
          <w:rFonts w:cs="Arial"/>
          <w:sz w:val="24"/>
        </w:rPr>
        <w:t xml:space="preserve">, 332-343. </w:t>
      </w:r>
    </w:p>
    <w:p w14:paraId="14FB727C" w14:textId="31CDD0AE" w:rsidR="00A40B51" w:rsidRPr="00534BA0" w:rsidRDefault="00A40B51" w:rsidP="004E4662">
      <w:pPr>
        <w:rPr>
          <w:rFonts w:cs="Arial"/>
          <w:sz w:val="24"/>
        </w:rPr>
      </w:pPr>
      <w:r w:rsidRPr="00534BA0">
        <w:rPr>
          <w:rFonts w:cs="Arial"/>
          <w:sz w:val="24"/>
        </w:rPr>
        <w:t>Page</w:t>
      </w:r>
      <w:r w:rsidR="00D62920" w:rsidRPr="00534BA0">
        <w:rPr>
          <w:rFonts w:cs="Arial"/>
          <w:sz w:val="24"/>
        </w:rPr>
        <w:t>, M.J., McKen</w:t>
      </w:r>
      <w:r w:rsidR="00D51602" w:rsidRPr="00534BA0">
        <w:rPr>
          <w:rFonts w:cs="Arial"/>
          <w:sz w:val="24"/>
        </w:rPr>
        <w:t xml:space="preserve">zie, J.E., </w:t>
      </w:r>
      <w:r w:rsidR="007C38F3" w:rsidRPr="00534BA0">
        <w:rPr>
          <w:rFonts w:cs="Arial"/>
          <w:sz w:val="24"/>
        </w:rPr>
        <w:t xml:space="preserve">Bossuyt, P.M., et al (2021). The PRISMA 2020 statement: an updated guideline for reporting systematic reviews. </w:t>
      </w:r>
      <w:r w:rsidR="002B043A" w:rsidRPr="00534BA0">
        <w:rPr>
          <w:rFonts w:cs="Arial"/>
          <w:i/>
          <w:iCs/>
          <w:sz w:val="24"/>
        </w:rPr>
        <w:t>BMJ</w:t>
      </w:r>
      <w:r w:rsidR="002B043A" w:rsidRPr="00534BA0">
        <w:rPr>
          <w:rFonts w:cs="Arial"/>
          <w:sz w:val="24"/>
        </w:rPr>
        <w:t xml:space="preserve">, </w:t>
      </w:r>
      <w:proofErr w:type="gramStart"/>
      <w:r w:rsidR="009E69A7" w:rsidRPr="00534BA0">
        <w:rPr>
          <w:rFonts w:cs="Arial"/>
          <w:sz w:val="24"/>
        </w:rPr>
        <w:t>372</w:t>
      </w:r>
      <w:r w:rsidR="000E3C54" w:rsidRPr="00534BA0">
        <w:rPr>
          <w:rFonts w:cs="Arial"/>
          <w:sz w:val="24"/>
        </w:rPr>
        <w:t>:n</w:t>
      </w:r>
      <w:proofErr w:type="gramEnd"/>
      <w:r w:rsidR="000E3C54" w:rsidRPr="00534BA0">
        <w:rPr>
          <w:rFonts w:cs="Arial"/>
          <w:sz w:val="24"/>
        </w:rPr>
        <w:t xml:space="preserve">71. </w:t>
      </w:r>
      <w:hyperlink r:id="rId38" w:history="1">
        <w:r w:rsidR="000E3C54" w:rsidRPr="00526B42">
          <w:rPr>
            <w:rStyle w:val="Hyperlink"/>
            <w:rFonts w:cs="Arial"/>
            <w:color w:val="000000" w:themeColor="text1"/>
            <w:sz w:val="24"/>
            <w:u w:val="none"/>
          </w:rPr>
          <w:t>https://doi.org/10.1136/bmj.n71</w:t>
        </w:r>
      </w:hyperlink>
    </w:p>
    <w:p w14:paraId="624F13C1" w14:textId="77777777" w:rsidR="004E4662" w:rsidRPr="00534BA0" w:rsidRDefault="004E4662" w:rsidP="004E4662">
      <w:pPr>
        <w:rPr>
          <w:rFonts w:cs="Arial"/>
          <w:sz w:val="24"/>
        </w:rPr>
      </w:pPr>
      <w:r w:rsidRPr="00534BA0">
        <w:rPr>
          <w:rFonts w:cs="Arial"/>
          <w:sz w:val="24"/>
        </w:rPr>
        <w:t xml:space="preserve">Paramasivam, A., Jaiswal, A., Minhas, R., et al. (2021). Informed consent or assent strategies for research with individuals with </w:t>
      </w:r>
      <w:proofErr w:type="spellStart"/>
      <w:r w:rsidRPr="00534BA0">
        <w:rPr>
          <w:rFonts w:cs="Arial"/>
          <w:sz w:val="24"/>
        </w:rPr>
        <w:t>deafblindness</w:t>
      </w:r>
      <w:proofErr w:type="spellEnd"/>
      <w:r w:rsidRPr="00534BA0">
        <w:rPr>
          <w:rFonts w:cs="Arial"/>
          <w:sz w:val="24"/>
        </w:rPr>
        <w:t xml:space="preserve"> or dual sensory impairment: A Scoping Review. </w:t>
      </w:r>
      <w:r w:rsidRPr="00534BA0">
        <w:rPr>
          <w:rFonts w:cs="Arial"/>
          <w:i/>
          <w:sz w:val="24"/>
        </w:rPr>
        <w:t xml:space="preserve">Arch </w:t>
      </w:r>
      <w:proofErr w:type="spellStart"/>
      <w:r w:rsidRPr="00534BA0">
        <w:rPr>
          <w:rFonts w:cs="Arial"/>
          <w:i/>
          <w:sz w:val="24"/>
        </w:rPr>
        <w:t>Rehabil</w:t>
      </w:r>
      <w:proofErr w:type="spellEnd"/>
      <w:r w:rsidRPr="00534BA0">
        <w:rPr>
          <w:rFonts w:cs="Arial"/>
          <w:i/>
          <w:sz w:val="24"/>
        </w:rPr>
        <w:t xml:space="preserve"> Res Clin </w:t>
      </w:r>
      <w:proofErr w:type="spellStart"/>
      <w:r w:rsidRPr="00534BA0">
        <w:rPr>
          <w:rFonts w:cs="Arial"/>
          <w:i/>
          <w:sz w:val="24"/>
        </w:rPr>
        <w:t>Transl</w:t>
      </w:r>
      <w:proofErr w:type="spellEnd"/>
      <w:r w:rsidRPr="00534BA0">
        <w:rPr>
          <w:rFonts w:cs="Arial"/>
          <w:sz w:val="24"/>
        </w:rPr>
        <w:t>,</w:t>
      </w:r>
      <w:r w:rsidRPr="00534BA0">
        <w:rPr>
          <w:rFonts w:cs="Arial"/>
          <w:i/>
          <w:sz w:val="24"/>
        </w:rPr>
        <w:t xml:space="preserve"> 3</w:t>
      </w:r>
      <w:r w:rsidRPr="00534BA0">
        <w:rPr>
          <w:rFonts w:cs="Arial"/>
          <w:sz w:val="24"/>
        </w:rPr>
        <w:t xml:space="preserve">(2), 100115. </w:t>
      </w:r>
      <w:hyperlink r:id="rId39" w:history="1">
        <w:r w:rsidRPr="00534BA0">
          <w:rPr>
            <w:rStyle w:val="Hyperlink"/>
            <w:rFonts w:cs="Arial"/>
            <w:color w:val="auto"/>
            <w:sz w:val="24"/>
            <w:u w:val="none"/>
          </w:rPr>
          <w:t>https://doi.org/10.1016/j.arrct.2021.100115</w:t>
        </w:r>
      </w:hyperlink>
    </w:p>
    <w:p w14:paraId="0EB5CEE6" w14:textId="77777777" w:rsidR="004E4662" w:rsidRPr="00534BA0" w:rsidRDefault="004E4662" w:rsidP="004E4662">
      <w:pPr>
        <w:rPr>
          <w:rFonts w:cs="Arial"/>
          <w:sz w:val="24"/>
        </w:rPr>
      </w:pPr>
      <w:r w:rsidRPr="00534BA0">
        <w:rPr>
          <w:rFonts w:cs="Arial"/>
          <w:sz w:val="24"/>
        </w:rPr>
        <w:t xml:space="preserve">Pekonen, A., Eloranta, S., Stolt, M., et al (2020). Measuring patient empowerment - A systematic review. </w:t>
      </w:r>
      <w:r w:rsidRPr="00534BA0">
        <w:rPr>
          <w:rFonts w:cs="Arial"/>
          <w:i/>
          <w:sz w:val="24"/>
        </w:rPr>
        <w:t>Patient Educ Couns</w:t>
      </w:r>
      <w:r w:rsidRPr="00534BA0">
        <w:rPr>
          <w:rFonts w:cs="Arial"/>
          <w:sz w:val="24"/>
        </w:rPr>
        <w:t>,</w:t>
      </w:r>
      <w:r w:rsidRPr="00534BA0">
        <w:rPr>
          <w:rFonts w:cs="Arial"/>
          <w:i/>
          <w:sz w:val="24"/>
        </w:rPr>
        <w:t xml:space="preserve"> 103</w:t>
      </w:r>
      <w:r w:rsidRPr="00534BA0">
        <w:rPr>
          <w:rFonts w:cs="Arial"/>
          <w:sz w:val="24"/>
        </w:rPr>
        <w:t xml:space="preserve">(4), 777-787. </w:t>
      </w:r>
    </w:p>
    <w:p w14:paraId="6FCF03BA" w14:textId="77777777" w:rsidR="004E4662" w:rsidRPr="00534BA0" w:rsidRDefault="004E4662" w:rsidP="004E4662">
      <w:pPr>
        <w:rPr>
          <w:rFonts w:cs="Arial"/>
          <w:sz w:val="24"/>
        </w:rPr>
      </w:pPr>
      <w:r w:rsidRPr="00534BA0">
        <w:rPr>
          <w:rFonts w:cs="Arial"/>
          <w:sz w:val="24"/>
        </w:rPr>
        <w:t xml:space="preserve">Pillen, H., Attrill, S., Fisher, A., et al (2024). Educating for supported decision making and shared decision making: A scoping review of educational design and outcomes for education and training interventions. </w:t>
      </w:r>
      <w:proofErr w:type="spellStart"/>
      <w:r w:rsidRPr="00534BA0">
        <w:rPr>
          <w:rFonts w:cs="Arial"/>
          <w:i/>
          <w:sz w:val="24"/>
        </w:rPr>
        <w:t>Disabil</w:t>
      </w:r>
      <w:proofErr w:type="spellEnd"/>
      <w:r w:rsidRPr="00534BA0">
        <w:rPr>
          <w:rFonts w:cs="Arial"/>
          <w:i/>
          <w:sz w:val="24"/>
        </w:rPr>
        <w:t xml:space="preserve"> </w:t>
      </w:r>
      <w:proofErr w:type="spellStart"/>
      <w:r w:rsidRPr="00534BA0">
        <w:rPr>
          <w:rFonts w:cs="Arial"/>
          <w:i/>
          <w:sz w:val="24"/>
        </w:rPr>
        <w:t>Rehabil</w:t>
      </w:r>
      <w:proofErr w:type="spellEnd"/>
      <w:r w:rsidRPr="00534BA0">
        <w:rPr>
          <w:rFonts w:cs="Arial"/>
          <w:sz w:val="24"/>
        </w:rPr>
        <w:t xml:space="preserve">, 1-12. </w:t>
      </w:r>
      <w:hyperlink r:id="rId40" w:history="1">
        <w:r w:rsidRPr="00534BA0">
          <w:rPr>
            <w:rStyle w:val="Hyperlink"/>
            <w:rFonts w:cs="Arial"/>
            <w:color w:val="auto"/>
            <w:sz w:val="24"/>
            <w:u w:val="none"/>
            <w:lang w:val="en-US"/>
          </w:rPr>
          <w:t>https://doi.org/10.1080/09638288.2024.2337099</w:t>
        </w:r>
      </w:hyperlink>
    </w:p>
    <w:p w14:paraId="73CEDCEB" w14:textId="77777777" w:rsidR="004E4662" w:rsidRPr="00534BA0" w:rsidRDefault="004E4662" w:rsidP="004E4662">
      <w:pPr>
        <w:rPr>
          <w:rFonts w:cs="Arial"/>
          <w:sz w:val="24"/>
        </w:rPr>
      </w:pPr>
      <w:r w:rsidRPr="00534BA0">
        <w:rPr>
          <w:rFonts w:cs="Arial"/>
          <w:sz w:val="24"/>
        </w:rPr>
        <w:t xml:space="preserve">Politi, M. C., Housten, A. J., Forcino, R. C., et al (2023). Discussing Cost and Value in Patient Decision Aids and Shared Decision Making: A Call to Action. </w:t>
      </w:r>
      <w:r w:rsidRPr="00534BA0">
        <w:rPr>
          <w:rFonts w:cs="Arial"/>
          <w:i/>
          <w:sz w:val="24"/>
        </w:rPr>
        <w:t xml:space="preserve">MDM Policy </w:t>
      </w:r>
      <w:proofErr w:type="spellStart"/>
      <w:r w:rsidRPr="00534BA0">
        <w:rPr>
          <w:rFonts w:cs="Arial"/>
          <w:i/>
          <w:sz w:val="24"/>
        </w:rPr>
        <w:t>Pract</w:t>
      </w:r>
      <w:proofErr w:type="spellEnd"/>
      <w:r w:rsidRPr="00534BA0">
        <w:rPr>
          <w:rFonts w:cs="Arial"/>
          <w:sz w:val="24"/>
        </w:rPr>
        <w:t>,</w:t>
      </w:r>
      <w:r w:rsidRPr="00534BA0">
        <w:rPr>
          <w:rFonts w:cs="Arial"/>
          <w:i/>
          <w:sz w:val="24"/>
        </w:rPr>
        <w:t xml:space="preserve"> 8</w:t>
      </w:r>
      <w:r w:rsidRPr="00534BA0">
        <w:rPr>
          <w:rFonts w:cs="Arial"/>
          <w:sz w:val="24"/>
        </w:rPr>
        <w:t xml:space="preserve">(1), 23814683221148651. </w:t>
      </w:r>
      <w:hyperlink r:id="rId41" w:history="1">
        <w:r w:rsidRPr="00534BA0">
          <w:rPr>
            <w:rStyle w:val="Hyperlink"/>
            <w:rFonts w:cs="Arial"/>
            <w:color w:val="auto"/>
            <w:sz w:val="24"/>
            <w:u w:val="none"/>
          </w:rPr>
          <w:t>https://doi.org/10.1177/23814683221148651</w:t>
        </w:r>
      </w:hyperlink>
    </w:p>
    <w:p w14:paraId="61FE285E" w14:textId="77777777" w:rsidR="004E4662" w:rsidRPr="00534BA0" w:rsidRDefault="004E4662" w:rsidP="004E4662">
      <w:pPr>
        <w:rPr>
          <w:rFonts w:cs="Arial"/>
          <w:sz w:val="24"/>
        </w:rPr>
      </w:pPr>
      <w:r w:rsidRPr="00534BA0">
        <w:rPr>
          <w:rFonts w:cs="Arial"/>
          <w:sz w:val="24"/>
        </w:rPr>
        <w:t xml:space="preserve">Powell, B. J., Waltz, T. J., </w:t>
      </w:r>
      <w:proofErr w:type="spellStart"/>
      <w:r w:rsidRPr="00534BA0">
        <w:rPr>
          <w:rFonts w:cs="Arial"/>
          <w:sz w:val="24"/>
        </w:rPr>
        <w:t>Chinman</w:t>
      </w:r>
      <w:proofErr w:type="spellEnd"/>
      <w:r w:rsidRPr="00534BA0">
        <w:rPr>
          <w:rFonts w:cs="Arial"/>
          <w:sz w:val="24"/>
        </w:rPr>
        <w:t xml:space="preserve">, M. J., et al (2015). A refined compilation of implementation strategies: results from the Expert Recommendations for Implementing Change (ERIC) project. </w:t>
      </w:r>
      <w:r w:rsidRPr="00534BA0">
        <w:rPr>
          <w:rFonts w:cs="Arial"/>
          <w:i/>
          <w:sz w:val="24"/>
        </w:rPr>
        <w:t>Implement Sci</w:t>
      </w:r>
      <w:r w:rsidRPr="00534BA0">
        <w:rPr>
          <w:rFonts w:cs="Arial"/>
          <w:sz w:val="24"/>
        </w:rPr>
        <w:t>,</w:t>
      </w:r>
      <w:r w:rsidRPr="00534BA0">
        <w:rPr>
          <w:rFonts w:cs="Arial"/>
          <w:i/>
          <w:sz w:val="24"/>
        </w:rPr>
        <w:t xml:space="preserve"> 10</w:t>
      </w:r>
      <w:r w:rsidRPr="00534BA0">
        <w:rPr>
          <w:rFonts w:cs="Arial"/>
          <w:sz w:val="24"/>
        </w:rPr>
        <w:t xml:space="preserve">, 21. </w:t>
      </w:r>
      <w:hyperlink r:id="rId42" w:history="1">
        <w:r w:rsidRPr="00534BA0">
          <w:rPr>
            <w:rStyle w:val="Hyperlink"/>
            <w:rFonts w:cs="Arial"/>
            <w:color w:val="auto"/>
            <w:sz w:val="24"/>
            <w:u w:val="none"/>
          </w:rPr>
          <w:t>https://doi.org/10.1186/s13012-015-0209-1</w:t>
        </w:r>
      </w:hyperlink>
    </w:p>
    <w:p w14:paraId="61EC5B2A" w14:textId="6A16CFB5" w:rsidR="004E4662" w:rsidRPr="00534BA0" w:rsidRDefault="004E4662" w:rsidP="004E4662">
      <w:pPr>
        <w:rPr>
          <w:rFonts w:cs="Arial"/>
          <w:sz w:val="24"/>
        </w:rPr>
      </w:pPr>
      <w:r w:rsidRPr="00534BA0">
        <w:rPr>
          <w:rFonts w:cs="Arial"/>
          <w:sz w:val="24"/>
        </w:rPr>
        <w:t xml:space="preserve">Proctor, E., </w:t>
      </w:r>
      <w:proofErr w:type="spellStart"/>
      <w:r w:rsidRPr="00534BA0">
        <w:rPr>
          <w:rFonts w:cs="Arial"/>
          <w:sz w:val="24"/>
        </w:rPr>
        <w:t>Silmere</w:t>
      </w:r>
      <w:proofErr w:type="spellEnd"/>
      <w:r w:rsidRPr="00534BA0">
        <w:rPr>
          <w:rFonts w:cs="Arial"/>
          <w:sz w:val="24"/>
        </w:rPr>
        <w:t xml:space="preserve">, H., Raghavan, R., et al (2011). Outcomes for implementation research: Conceptual distinctions, measurement challenges, and research agenda. </w:t>
      </w:r>
      <w:r w:rsidRPr="00534BA0">
        <w:rPr>
          <w:rFonts w:cs="Arial"/>
          <w:i/>
          <w:sz w:val="24"/>
        </w:rPr>
        <w:t>Adm Policy Ment Health</w:t>
      </w:r>
      <w:r w:rsidRPr="00534BA0">
        <w:rPr>
          <w:rFonts w:cs="Arial"/>
          <w:sz w:val="24"/>
        </w:rPr>
        <w:t>,</w:t>
      </w:r>
      <w:r w:rsidRPr="00534BA0">
        <w:rPr>
          <w:rFonts w:cs="Arial"/>
          <w:i/>
          <w:sz w:val="24"/>
        </w:rPr>
        <w:t xml:space="preserve"> 38</w:t>
      </w:r>
      <w:r w:rsidRPr="00534BA0">
        <w:rPr>
          <w:rFonts w:cs="Arial"/>
          <w:sz w:val="24"/>
        </w:rPr>
        <w:t xml:space="preserve">(2), 65-76. </w:t>
      </w:r>
    </w:p>
    <w:p w14:paraId="43723C7D" w14:textId="77777777" w:rsidR="004E4662" w:rsidRPr="00534BA0" w:rsidRDefault="004E4662" w:rsidP="004E4662">
      <w:pPr>
        <w:rPr>
          <w:rFonts w:cs="Arial"/>
          <w:sz w:val="24"/>
        </w:rPr>
      </w:pPr>
      <w:r w:rsidRPr="00534BA0">
        <w:rPr>
          <w:rFonts w:cs="Arial"/>
          <w:sz w:val="24"/>
        </w:rPr>
        <w:t xml:space="preserve">Retief, M., &amp; </w:t>
      </w:r>
      <w:proofErr w:type="spellStart"/>
      <w:r w:rsidRPr="00534BA0">
        <w:rPr>
          <w:rFonts w:cs="Arial"/>
          <w:sz w:val="24"/>
        </w:rPr>
        <w:t>Lesosa</w:t>
      </w:r>
      <w:proofErr w:type="spellEnd"/>
      <w:r w:rsidRPr="00534BA0">
        <w:rPr>
          <w:rFonts w:cs="Arial"/>
          <w:sz w:val="24"/>
        </w:rPr>
        <w:t xml:space="preserve">, R. (2018). Models of disability: A brief overview. </w:t>
      </w:r>
      <w:r w:rsidRPr="00534BA0">
        <w:rPr>
          <w:rFonts w:cs="Arial"/>
          <w:i/>
          <w:sz w:val="24"/>
        </w:rPr>
        <w:t xml:space="preserve">HTS </w:t>
      </w:r>
      <w:proofErr w:type="spellStart"/>
      <w:r w:rsidRPr="00534BA0">
        <w:rPr>
          <w:rFonts w:cs="Arial"/>
          <w:i/>
          <w:sz w:val="24"/>
        </w:rPr>
        <w:t>Teologiese</w:t>
      </w:r>
      <w:proofErr w:type="spellEnd"/>
      <w:r w:rsidRPr="00534BA0">
        <w:rPr>
          <w:rFonts w:cs="Arial"/>
          <w:i/>
          <w:sz w:val="24"/>
        </w:rPr>
        <w:t xml:space="preserve"> Studies/ Theological Studies 74</w:t>
      </w:r>
      <w:r w:rsidRPr="00534BA0">
        <w:rPr>
          <w:rFonts w:cs="Arial"/>
          <w:iCs/>
          <w:sz w:val="24"/>
        </w:rPr>
        <w:t>(1), a4738</w:t>
      </w:r>
      <w:r w:rsidRPr="00534BA0">
        <w:rPr>
          <w:rFonts w:cs="Arial"/>
          <w:i/>
          <w:sz w:val="24"/>
        </w:rPr>
        <w:t xml:space="preserve">. </w:t>
      </w:r>
      <w:hyperlink r:id="rId43" w:history="1">
        <w:r w:rsidRPr="00534BA0">
          <w:rPr>
            <w:rStyle w:val="Hyperlink"/>
            <w:rFonts w:cs="Arial"/>
            <w:color w:val="auto"/>
            <w:sz w:val="24"/>
            <w:u w:val="none"/>
          </w:rPr>
          <w:t>https://doi.org/10.4102/hts.v74i1.4738</w:t>
        </w:r>
      </w:hyperlink>
      <w:r w:rsidRPr="00534BA0">
        <w:rPr>
          <w:rFonts w:cs="Arial"/>
          <w:sz w:val="24"/>
        </w:rPr>
        <w:t>.</w:t>
      </w:r>
    </w:p>
    <w:p w14:paraId="10876646" w14:textId="77777777" w:rsidR="004E4662" w:rsidRPr="00534BA0" w:rsidRDefault="004E4662" w:rsidP="004E4662">
      <w:pPr>
        <w:rPr>
          <w:rFonts w:cs="Arial"/>
          <w:sz w:val="24"/>
        </w:rPr>
      </w:pPr>
      <w:r w:rsidRPr="00534BA0">
        <w:rPr>
          <w:rFonts w:cs="Arial"/>
          <w:sz w:val="24"/>
        </w:rPr>
        <w:t xml:space="preserve">Rios, D., Magasi, S., Novak, C., et al (2016). Conducting accessible research: including people with disabilities in public health, epidemiological, and outcomes studies. </w:t>
      </w:r>
      <w:r w:rsidRPr="00534BA0">
        <w:rPr>
          <w:rFonts w:cs="Arial"/>
          <w:i/>
          <w:sz w:val="24"/>
        </w:rPr>
        <w:t>Am J Public Health</w:t>
      </w:r>
      <w:r w:rsidRPr="00534BA0">
        <w:rPr>
          <w:rFonts w:cs="Arial"/>
          <w:sz w:val="24"/>
        </w:rPr>
        <w:t>,</w:t>
      </w:r>
      <w:r w:rsidRPr="00534BA0">
        <w:rPr>
          <w:rFonts w:cs="Arial"/>
          <w:i/>
          <w:sz w:val="24"/>
        </w:rPr>
        <w:t xml:space="preserve"> 106</w:t>
      </w:r>
      <w:r w:rsidRPr="00534BA0">
        <w:rPr>
          <w:rFonts w:cs="Arial"/>
          <w:sz w:val="24"/>
        </w:rPr>
        <w:t xml:space="preserve">(12), 2137-2144. </w:t>
      </w:r>
    </w:p>
    <w:p w14:paraId="356B3D42" w14:textId="77777777" w:rsidR="004E4662" w:rsidRPr="00534BA0" w:rsidRDefault="004E4662" w:rsidP="004E4662">
      <w:pPr>
        <w:rPr>
          <w:rFonts w:cs="Arial"/>
          <w:sz w:val="24"/>
        </w:rPr>
      </w:pPr>
      <w:r w:rsidRPr="00534BA0">
        <w:rPr>
          <w:rFonts w:cs="Arial"/>
          <w:sz w:val="24"/>
        </w:rPr>
        <w:t xml:space="preserve">Roy, A., </w:t>
      </w:r>
      <w:proofErr w:type="spellStart"/>
      <w:r w:rsidRPr="00534BA0">
        <w:rPr>
          <w:rFonts w:cs="Arial"/>
          <w:sz w:val="24"/>
        </w:rPr>
        <w:t>McVilly</w:t>
      </w:r>
      <w:proofErr w:type="spellEnd"/>
      <w:r w:rsidRPr="00534BA0">
        <w:rPr>
          <w:rFonts w:cs="Arial"/>
          <w:sz w:val="24"/>
        </w:rPr>
        <w:t xml:space="preserve">, K. R., &amp; Crisp, B. (2018a). Preparing for inclusive consultation, research and policy development: insights from the field of </w:t>
      </w:r>
      <w:proofErr w:type="spellStart"/>
      <w:r w:rsidRPr="00534BA0">
        <w:rPr>
          <w:rFonts w:cs="Arial"/>
          <w:sz w:val="24"/>
        </w:rPr>
        <w:t>Deafblindness</w:t>
      </w:r>
      <w:proofErr w:type="spellEnd"/>
      <w:r w:rsidRPr="00534BA0">
        <w:rPr>
          <w:rFonts w:cs="Arial"/>
          <w:sz w:val="24"/>
        </w:rPr>
        <w:t xml:space="preserve">. </w:t>
      </w:r>
      <w:r w:rsidRPr="00534BA0">
        <w:rPr>
          <w:rFonts w:cs="Arial"/>
          <w:i/>
          <w:sz w:val="24"/>
        </w:rPr>
        <w:t>Journal of Social Inclusion</w:t>
      </w:r>
      <w:r w:rsidRPr="00534BA0">
        <w:rPr>
          <w:rFonts w:cs="Arial"/>
          <w:sz w:val="24"/>
        </w:rPr>
        <w:t>,</w:t>
      </w:r>
      <w:r w:rsidRPr="00534BA0">
        <w:rPr>
          <w:rFonts w:cs="Arial"/>
          <w:i/>
          <w:sz w:val="24"/>
        </w:rPr>
        <w:t xml:space="preserve"> 9</w:t>
      </w:r>
      <w:r w:rsidRPr="00534BA0">
        <w:rPr>
          <w:rFonts w:cs="Arial"/>
          <w:sz w:val="24"/>
        </w:rPr>
        <w:t>(9), 71-88.</w:t>
      </w:r>
    </w:p>
    <w:p w14:paraId="6E19DECC" w14:textId="77777777" w:rsidR="004E4662" w:rsidRPr="00534BA0" w:rsidRDefault="004E4662" w:rsidP="004E4662">
      <w:pPr>
        <w:rPr>
          <w:rFonts w:cs="Arial"/>
          <w:sz w:val="24"/>
        </w:rPr>
      </w:pPr>
      <w:r w:rsidRPr="00534BA0">
        <w:rPr>
          <w:rFonts w:cs="Arial"/>
          <w:sz w:val="24"/>
        </w:rPr>
        <w:t xml:space="preserve">Sabatello, M., Blake, L. A., Chao, A., et al (2019). Including the blind community in precision medicine research: Findings from a national survey and recommendations. </w:t>
      </w:r>
      <w:r w:rsidRPr="00534BA0">
        <w:rPr>
          <w:rFonts w:cs="Arial"/>
          <w:i/>
          <w:sz w:val="24"/>
        </w:rPr>
        <w:t>Genet Med</w:t>
      </w:r>
      <w:r w:rsidRPr="00534BA0">
        <w:rPr>
          <w:rFonts w:cs="Arial"/>
          <w:sz w:val="24"/>
        </w:rPr>
        <w:t>,</w:t>
      </w:r>
      <w:r w:rsidRPr="00534BA0">
        <w:rPr>
          <w:rFonts w:cs="Arial"/>
          <w:i/>
          <w:sz w:val="24"/>
        </w:rPr>
        <w:t xml:space="preserve"> 21</w:t>
      </w:r>
      <w:r w:rsidRPr="00534BA0">
        <w:rPr>
          <w:rFonts w:cs="Arial"/>
          <w:sz w:val="24"/>
        </w:rPr>
        <w:t xml:space="preserve">(11), 2631-2638. </w:t>
      </w:r>
    </w:p>
    <w:p w14:paraId="71851F6F" w14:textId="77777777" w:rsidR="004E4662" w:rsidRPr="00534BA0" w:rsidRDefault="004E4662" w:rsidP="004E4662">
      <w:pPr>
        <w:rPr>
          <w:rFonts w:cs="Arial"/>
          <w:sz w:val="24"/>
        </w:rPr>
      </w:pPr>
      <w:r w:rsidRPr="00534BA0">
        <w:rPr>
          <w:rFonts w:cs="Arial"/>
          <w:sz w:val="24"/>
        </w:rPr>
        <w:t xml:space="preserve">Sabatello, M., Chen, Y., Zhang, Y., et al (2019). Disability inclusion in precision medicine research: A first national survey. </w:t>
      </w:r>
      <w:r w:rsidRPr="00534BA0">
        <w:rPr>
          <w:rFonts w:cs="Arial"/>
          <w:i/>
          <w:sz w:val="24"/>
        </w:rPr>
        <w:t>Genet Med</w:t>
      </w:r>
      <w:r w:rsidRPr="00534BA0">
        <w:rPr>
          <w:rFonts w:cs="Arial"/>
          <w:sz w:val="24"/>
        </w:rPr>
        <w:t>,</w:t>
      </w:r>
      <w:r w:rsidRPr="00534BA0">
        <w:rPr>
          <w:rFonts w:cs="Arial"/>
          <w:i/>
          <w:sz w:val="24"/>
        </w:rPr>
        <w:t xml:space="preserve"> 21</w:t>
      </w:r>
      <w:r w:rsidRPr="00534BA0">
        <w:rPr>
          <w:rFonts w:cs="Arial"/>
          <w:sz w:val="24"/>
        </w:rPr>
        <w:t xml:space="preserve">(10), 2319-2327. </w:t>
      </w:r>
    </w:p>
    <w:p w14:paraId="1B13D1BF" w14:textId="77777777" w:rsidR="004E4662" w:rsidRPr="00534BA0" w:rsidRDefault="004E4662" w:rsidP="004E4662">
      <w:pPr>
        <w:rPr>
          <w:rFonts w:cs="Arial"/>
          <w:sz w:val="24"/>
        </w:rPr>
      </w:pPr>
      <w:r w:rsidRPr="00534BA0">
        <w:rPr>
          <w:rFonts w:cs="Arial"/>
          <w:sz w:val="24"/>
        </w:rPr>
        <w:t xml:space="preserve">Scalia, P., Barr, P. J., O'Neill, C., et al (2020). Does the use of patient decision aids lead to cost savings? A systematic review. </w:t>
      </w:r>
      <w:r w:rsidRPr="00534BA0">
        <w:rPr>
          <w:rFonts w:cs="Arial"/>
          <w:i/>
          <w:sz w:val="24"/>
        </w:rPr>
        <w:t>BMJ Open</w:t>
      </w:r>
      <w:r w:rsidRPr="00534BA0">
        <w:rPr>
          <w:rFonts w:cs="Arial"/>
          <w:sz w:val="24"/>
        </w:rPr>
        <w:t>,</w:t>
      </w:r>
      <w:r w:rsidRPr="00534BA0">
        <w:rPr>
          <w:rFonts w:cs="Arial"/>
          <w:i/>
          <w:sz w:val="24"/>
        </w:rPr>
        <w:t xml:space="preserve"> 10</w:t>
      </w:r>
      <w:r w:rsidRPr="00534BA0">
        <w:rPr>
          <w:rFonts w:cs="Arial"/>
          <w:sz w:val="24"/>
        </w:rPr>
        <w:t xml:space="preserve">(11), e036834. </w:t>
      </w:r>
      <w:hyperlink r:id="rId44" w:history="1">
        <w:r w:rsidRPr="00534BA0">
          <w:rPr>
            <w:rStyle w:val="Hyperlink"/>
            <w:rFonts w:cs="Arial"/>
            <w:color w:val="auto"/>
            <w:sz w:val="24"/>
            <w:u w:val="none"/>
          </w:rPr>
          <w:t>https://doi.org/10.1136/bmjopen-2020-036834</w:t>
        </w:r>
      </w:hyperlink>
    </w:p>
    <w:p w14:paraId="62625FEE" w14:textId="77777777" w:rsidR="004E4662" w:rsidRPr="00534BA0" w:rsidRDefault="004E4662" w:rsidP="004E4662">
      <w:pPr>
        <w:rPr>
          <w:rFonts w:cs="Arial"/>
          <w:sz w:val="24"/>
        </w:rPr>
      </w:pPr>
      <w:r w:rsidRPr="00534BA0">
        <w:rPr>
          <w:rFonts w:cs="Arial"/>
          <w:sz w:val="24"/>
        </w:rPr>
        <w:t xml:space="preserve">Shogren, K. A. (2023). The right to science: </w:t>
      </w:r>
      <w:proofErr w:type="spellStart"/>
      <w:r w:rsidRPr="00534BA0">
        <w:rPr>
          <w:rFonts w:cs="Arial"/>
          <w:sz w:val="24"/>
        </w:rPr>
        <w:t>centering</w:t>
      </w:r>
      <w:proofErr w:type="spellEnd"/>
      <w:r w:rsidRPr="00534BA0">
        <w:rPr>
          <w:rFonts w:cs="Arial"/>
          <w:sz w:val="24"/>
        </w:rPr>
        <w:t xml:space="preserve"> people with intellectual disability in the process and outcomes of science. </w:t>
      </w:r>
      <w:r w:rsidRPr="00534BA0">
        <w:rPr>
          <w:rFonts w:cs="Arial"/>
          <w:i/>
          <w:sz w:val="24"/>
        </w:rPr>
        <w:t xml:space="preserve">Intellect Dev </w:t>
      </w:r>
      <w:proofErr w:type="spellStart"/>
      <w:r w:rsidRPr="00534BA0">
        <w:rPr>
          <w:rFonts w:cs="Arial"/>
          <w:i/>
          <w:sz w:val="24"/>
        </w:rPr>
        <w:t>Disabil</w:t>
      </w:r>
      <w:proofErr w:type="spellEnd"/>
      <w:r w:rsidRPr="00534BA0">
        <w:rPr>
          <w:rFonts w:cs="Arial"/>
          <w:sz w:val="24"/>
        </w:rPr>
        <w:t>,</w:t>
      </w:r>
      <w:r w:rsidRPr="00534BA0">
        <w:rPr>
          <w:rFonts w:cs="Arial"/>
          <w:i/>
          <w:sz w:val="24"/>
        </w:rPr>
        <w:t xml:space="preserve"> 61</w:t>
      </w:r>
      <w:r w:rsidRPr="00534BA0">
        <w:rPr>
          <w:rFonts w:cs="Arial"/>
          <w:sz w:val="24"/>
        </w:rPr>
        <w:t xml:space="preserve">(2), 172-177. </w:t>
      </w:r>
    </w:p>
    <w:p w14:paraId="73071B9A" w14:textId="77777777" w:rsidR="004E4662" w:rsidRPr="00534BA0" w:rsidRDefault="004E4662" w:rsidP="004E4662">
      <w:pPr>
        <w:rPr>
          <w:rFonts w:cs="Arial"/>
          <w:sz w:val="24"/>
        </w:rPr>
      </w:pPr>
      <w:r w:rsidRPr="00534BA0">
        <w:rPr>
          <w:rFonts w:cs="Arial"/>
          <w:sz w:val="24"/>
        </w:rPr>
        <w:t xml:space="preserve">Singleton, J. L., Jones, G., &amp; </w:t>
      </w:r>
      <w:proofErr w:type="spellStart"/>
      <w:r w:rsidRPr="00534BA0">
        <w:rPr>
          <w:rFonts w:cs="Arial"/>
          <w:sz w:val="24"/>
        </w:rPr>
        <w:t>Hanumantha</w:t>
      </w:r>
      <w:proofErr w:type="spellEnd"/>
      <w:r w:rsidRPr="00534BA0">
        <w:rPr>
          <w:rFonts w:cs="Arial"/>
          <w:sz w:val="24"/>
        </w:rPr>
        <w:t xml:space="preserve">, S. (2014). Toward ethical research practice with deaf participants. </w:t>
      </w:r>
      <w:r w:rsidRPr="00534BA0">
        <w:rPr>
          <w:rFonts w:cs="Arial"/>
          <w:i/>
          <w:sz w:val="24"/>
        </w:rPr>
        <w:t xml:space="preserve">J </w:t>
      </w:r>
      <w:proofErr w:type="spellStart"/>
      <w:r w:rsidRPr="00534BA0">
        <w:rPr>
          <w:rFonts w:cs="Arial"/>
          <w:i/>
          <w:sz w:val="24"/>
        </w:rPr>
        <w:t>Empir</w:t>
      </w:r>
      <w:proofErr w:type="spellEnd"/>
      <w:r w:rsidRPr="00534BA0">
        <w:rPr>
          <w:rFonts w:cs="Arial"/>
          <w:i/>
          <w:sz w:val="24"/>
        </w:rPr>
        <w:t xml:space="preserve"> Res Hum Res Ethics</w:t>
      </w:r>
      <w:r w:rsidRPr="00534BA0">
        <w:rPr>
          <w:rFonts w:cs="Arial"/>
          <w:sz w:val="24"/>
        </w:rPr>
        <w:t>,</w:t>
      </w:r>
      <w:r w:rsidRPr="00534BA0">
        <w:rPr>
          <w:rFonts w:cs="Arial"/>
          <w:i/>
          <w:sz w:val="24"/>
        </w:rPr>
        <w:t xml:space="preserve"> 9</w:t>
      </w:r>
      <w:r w:rsidRPr="00534BA0">
        <w:rPr>
          <w:rFonts w:cs="Arial"/>
          <w:sz w:val="24"/>
        </w:rPr>
        <w:t xml:space="preserve">(3), 56-66. </w:t>
      </w:r>
    </w:p>
    <w:p w14:paraId="72BAE398" w14:textId="77777777" w:rsidR="004E4662" w:rsidRPr="00534BA0" w:rsidRDefault="004E4662" w:rsidP="004E4662">
      <w:pPr>
        <w:rPr>
          <w:rFonts w:cs="Arial"/>
          <w:sz w:val="24"/>
        </w:rPr>
      </w:pPr>
      <w:r w:rsidRPr="00534BA0">
        <w:rPr>
          <w:rFonts w:cs="Arial"/>
          <w:sz w:val="24"/>
        </w:rPr>
        <w:t xml:space="preserve">Skilton, A., Boswell, E., Prince, K., et al (2018). Overcoming barriers to the involvement of deafblind people in conversations about research: recommendations from individuals with Usher syndrome. </w:t>
      </w:r>
      <w:r w:rsidRPr="00534BA0">
        <w:rPr>
          <w:rFonts w:cs="Arial"/>
          <w:i/>
          <w:sz w:val="24"/>
        </w:rPr>
        <w:t xml:space="preserve">Res </w:t>
      </w:r>
      <w:proofErr w:type="spellStart"/>
      <w:r w:rsidRPr="00534BA0">
        <w:rPr>
          <w:rFonts w:cs="Arial"/>
          <w:i/>
          <w:sz w:val="24"/>
        </w:rPr>
        <w:t>Involv</w:t>
      </w:r>
      <w:proofErr w:type="spellEnd"/>
      <w:r w:rsidRPr="00534BA0">
        <w:rPr>
          <w:rFonts w:cs="Arial"/>
          <w:i/>
          <w:sz w:val="24"/>
        </w:rPr>
        <w:t xml:space="preserve"> </w:t>
      </w:r>
      <w:proofErr w:type="spellStart"/>
      <w:r w:rsidRPr="00534BA0">
        <w:rPr>
          <w:rFonts w:cs="Arial"/>
          <w:i/>
          <w:sz w:val="24"/>
        </w:rPr>
        <w:t>Engagem</w:t>
      </w:r>
      <w:proofErr w:type="spellEnd"/>
      <w:r w:rsidRPr="00534BA0">
        <w:rPr>
          <w:rFonts w:cs="Arial"/>
          <w:sz w:val="24"/>
        </w:rPr>
        <w:t>,</w:t>
      </w:r>
      <w:r w:rsidRPr="00534BA0">
        <w:rPr>
          <w:rFonts w:cs="Arial"/>
          <w:i/>
          <w:sz w:val="24"/>
        </w:rPr>
        <w:t xml:space="preserve"> 4</w:t>
      </w:r>
      <w:r w:rsidRPr="00534BA0">
        <w:rPr>
          <w:rFonts w:cs="Arial"/>
          <w:sz w:val="24"/>
        </w:rPr>
        <w:t xml:space="preserve">, 40. </w:t>
      </w:r>
      <w:hyperlink r:id="rId45" w:history="1">
        <w:r w:rsidRPr="00534BA0">
          <w:rPr>
            <w:rStyle w:val="Hyperlink"/>
            <w:rFonts w:cs="Arial"/>
            <w:color w:val="auto"/>
            <w:sz w:val="24"/>
            <w:u w:val="none"/>
          </w:rPr>
          <w:t>https://doi.org/10.1186/s40900-018-0124-0</w:t>
        </w:r>
      </w:hyperlink>
    </w:p>
    <w:p w14:paraId="06BA39C8" w14:textId="77777777" w:rsidR="004E4662" w:rsidRPr="00534BA0" w:rsidRDefault="004E4662" w:rsidP="004E4662">
      <w:pPr>
        <w:rPr>
          <w:rFonts w:cs="Arial"/>
          <w:sz w:val="24"/>
        </w:rPr>
      </w:pPr>
      <w:r w:rsidRPr="00534BA0">
        <w:rPr>
          <w:rFonts w:cs="Arial"/>
          <w:sz w:val="24"/>
        </w:rPr>
        <w:t xml:space="preserve">Smith, J. D., Li, D. H., &amp; Rafferty, M. R. (2020). The Implementation Research Logic Model: a method for planning, executing, reporting, and synthesizing implementation projects. </w:t>
      </w:r>
      <w:r w:rsidRPr="00534BA0">
        <w:rPr>
          <w:rFonts w:cs="Arial"/>
          <w:i/>
          <w:sz w:val="24"/>
        </w:rPr>
        <w:t>Implement Sci</w:t>
      </w:r>
      <w:r w:rsidRPr="00534BA0">
        <w:rPr>
          <w:rFonts w:cs="Arial"/>
          <w:sz w:val="24"/>
        </w:rPr>
        <w:t>,</w:t>
      </w:r>
      <w:r w:rsidRPr="00534BA0">
        <w:rPr>
          <w:rFonts w:cs="Arial"/>
          <w:i/>
          <w:sz w:val="24"/>
        </w:rPr>
        <w:t xml:space="preserve"> 15</w:t>
      </w:r>
      <w:r w:rsidRPr="00534BA0">
        <w:rPr>
          <w:rFonts w:cs="Arial"/>
          <w:sz w:val="24"/>
        </w:rPr>
        <w:t xml:space="preserve">(1), 84. </w:t>
      </w:r>
      <w:hyperlink r:id="rId46" w:history="1">
        <w:r w:rsidRPr="00534BA0">
          <w:rPr>
            <w:rStyle w:val="Hyperlink"/>
            <w:rFonts w:cs="Arial"/>
            <w:color w:val="auto"/>
            <w:sz w:val="24"/>
            <w:u w:val="none"/>
          </w:rPr>
          <w:t>https://doi.org/10.1186/s13012-020-01041-8</w:t>
        </w:r>
      </w:hyperlink>
    </w:p>
    <w:p w14:paraId="31474F00" w14:textId="77777777" w:rsidR="004E4662" w:rsidRPr="00534BA0" w:rsidRDefault="004E4662" w:rsidP="004E4662">
      <w:pPr>
        <w:rPr>
          <w:rFonts w:cs="Arial"/>
          <w:sz w:val="24"/>
        </w:rPr>
      </w:pPr>
      <w:r w:rsidRPr="00534BA0">
        <w:rPr>
          <w:rFonts w:cs="Arial"/>
          <w:sz w:val="24"/>
        </w:rPr>
        <w:t xml:space="preserve">Spehar, B., Tye-Murray, N., Myerson, J., et al (2016). Real-time captioning for improving informed consent: patient and physician benefits. </w:t>
      </w:r>
      <w:r w:rsidRPr="00534BA0">
        <w:rPr>
          <w:rFonts w:cs="Arial"/>
          <w:i/>
          <w:sz w:val="24"/>
        </w:rPr>
        <w:t xml:space="preserve">Reg </w:t>
      </w:r>
      <w:proofErr w:type="spellStart"/>
      <w:r w:rsidRPr="00534BA0">
        <w:rPr>
          <w:rFonts w:cs="Arial"/>
          <w:i/>
          <w:sz w:val="24"/>
        </w:rPr>
        <w:t>Anesth</w:t>
      </w:r>
      <w:proofErr w:type="spellEnd"/>
      <w:r w:rsidRPr="00534BA0">
        <w:rPr>
          <w:rFonts w:cs="Arial"/>
          <w:i/>
          <w:sz w:val="24"/>
        </w:rPr>
        <w:t xml:space="preserve"> Pain Med</w:t>
      </w:r>
      <w:r w:rsidRPr="00534BA0">
        <w:rPr>
          <w:rFonts w:cs="Arial"/>
          <w:sz w:val="24"/>
        </w:rPr>
        <w:t>,</w:t>
      </w:r>
      <w:r w:rsidRPr="00534BA0">
        <w:rPr>
          <w:rFonts w:cs="Arial"/>
          <w:i/>
          <w:sz w:val="24"/>
        </w:rPr>
        <w:t xml:space="preserve"> 41</w:t>
      </w:r>
      <w:r w:rsidRPr="00534BA0">
        <w:rPr>
          <w:rFonts w:cs="Arial"/>
          <w:sz w:val="24"/>
        </w:rPr>
        <w:t xml:space="preserve">(1), 65-68. </w:t>
      </w:r>
    </w:p>
    <w:p w14:paraId="17AE8653" w14:textId="77777777" w:rsidR="004E4662" w:rsidRPr="00534BA0" w:rsidRDefault="004E4662" w:rsidP="004E4662">
      <w:pPr>
        <w:rPr>
          <w:rFonts w:cs="Arial"/>
          <w:sz w:val="24"/>
        </w:rPr>
      </w:pPr>
      <w:r w:rsidRPr="00534BA0">
        <w:rPr>
          <w:rFonts w:cs="Arial"/>
          <w:sz w:val="24"/>
        </w:rPr>
        <w:t xml:space="preserve">Strickler, J. G., &amp; Havercamp, S. M. (2023). Evaluating an informed consent process designed to improve inclusion of adults with intellectual disability in research. </w:t>
      </w:r>
      <w:r w:rsidRPr="00534BA0">
        <w:rPr>
          <w:rFonts w:cs="Arial"/>
          <w:i/>
          <w:sz w:val="24"/>
        </w:rPr>
        <w:t xml:space="preserve">Res Dev </w:t>
      </w:r>
      <w:proofErr w:type="spellStart"/>
      <w:r w:rsidRPr="00534BA0">
        <w:rPr>
          <w:rFonts w:cs="Arial"/>
          <w:i/>
          <w:sz w:val="24"/>
        </w:rPr>
        <w:t>Disabil</w:t>
      </w:r>
      <w:proofErr w:type="spellEnd"/>
      <w:r w:rsidRPr="00534BA0">
        <w:rPr>
          <w:rFonts w:cs="Arial"/>
          <w:sz w:val="24"/>
        </w:rPr>
        <w:t>,</w:t>
      </w:r>
      <w:r w:rsidRPr="00534BA0">
        <w:rPr>
          <w:rFonts w:cs="Arial"/>
          <w:i/>
          <w:sz w:val="24"/>
        </w:rPr>
        <w:t xml:space="preserve"> 134</w:t>
      </w:r>
      <w:r w:rsidRPr="00534BA0">
        <w:rPr>
          <w:rFonts w:cs="Arial"/>
          <w:sz w:val="24"/>
        </w:rPr>
        <w:t xml:space="preserve">, 104413. </w:t>
      </w:r>
      <w:hyperlink r:id="rId47" w:history="1">
        <w:r w:rsidRPr="00534BA0">
          <w:rPr>
            <w:rStyle w:val="Hyperlink"/>
            <w:rFonts w:cs="Arial"/>
            <w:color w:val="auto"/>
            <w:sz w:val="24"/>
            <w:u w:val="none"/>
          </w:rPr>
          <w:t>https://doi.org/10.1016/j.ridd.2022.104413</w:t>
        </w:r>
      </w:hyperlink>
    </w:p>
    <w:p w14:paraId="1D63D108" w14:textId="77777777" w:rsidR="004E4662" w:rsidRPr="00534BA0" w:rsidRDefault="004E4662" w:rsidP="004E4662">
      <w:pPr>
        <w:rPr>
          <w:rFonts w:cs="Arial"/>
          <w:sz w:val="24"/>
        </w:rPr>
      </w:pPr>
      <w:r w:rsidRPr="00534BA0">
        <w:rPr>
          <w:rFonts w:cs="Arial"/>
          <w:sz w:val="24"/>
        </w:rPr>
        <w:t xml:space="preserve">Taua, C., Neville, C., &amp; Hepworth, J. (2014). Research participation by people with intellectual disability and mental health issues: an examination of the processes of consent. </w:t>
      </w:r>
      <w:r w:rsidRPr="00534BA0">
        <w:rPr>
          <w:rFonts w:cs="Arial"/>
          <w:i/>
          <w:sz w:val="24"/>
        </w:rPr>
        <w:t>Int J Ment Health Nurs</w:t>
      </w:r>
      <w:r w:rsidRPr="00534BA0">
        <w:rPr>
          <w:rFonts w:cs="Arial"/>
          <w:sz w:val="24"/>
        </w:rPr>
        <w:t>,</w:t>
      </w:r>
      <w:r w:rsidRPr="00534BA0">
        <w:rPr>
          <w:rFonts w:cs="Arial"/>
          <w:i/>
          <w:sz w:val="24"/>
        </w:rPr>
        <w:t xml:space="preserve"> 23</w:t>
      </w:r>
      <w:r w:rsidRPr="00534BA0">
        <w:rPr>
          <w:rFonts w:cs="Arial"/>
          <w:sz w:val="24"/>
        </w:rPr>
        <w:t xml:space="preserve">(6), 513-524. </w:t>
      </w:r>
      <w:hyperlink r:id="rId48" w:history="1">
        <w:r w:rsidRPr="00534BA0">
          <w:rPr>
            <w:rStyle w:val="Hyperlink"/>
            <w:rFonts w:cs="Arial"/>
            <w:color w:val="auto"/>
            <w:sz w:val="24"/>
            <w:u w:val="none"/>
          </w:rPr>
          <w:t>https://doi.org/10.1111/inm.12079</w:t>
        </w:r>
      </w:hyperlink>
    </w:p>
    <w:p w14:paraId="1E369A20" w14:textId="0BAD8D60" w:rsidR="004E4662" w:rsidRPr="00534BA0" w:rsidRDefault="004E4662" w:rsidP="004E4662">
      <w:pPr>
        <w:rPr>
          <w:rFonts w:cs="Arial"/>
          <w:sz w:val="24"/>
        </w:rPr>
      </w:pPr>
      <w:r w:rsidRPr="00534BA0">
        <w:rPr>
          <w:rFonts w:cs="Arial"/>
          <w:sz w:val="24"/>
        </w:rPr>
        <w:t xml:space="preserve">Trujillo Tanner, C., Caserta, M. S., Kleinschmidt, J. J., Clayton, M. S., Bernstein, P. S., &amp; Guo, J. W. (2018b). Conducting research </w:t>
      </w:r>
      <w:r w:rsidR="007A40FB" w:rsidRPr="00534BA0">
        <w:rPr>
          <w:rFonts w:cs="Arial"/>
          <w:sz w:val="24"/>
        </w:rPr>
        <w:t>w</w:t>
      </w:r>
      <w:r w:rsidRPr="00534BA0">
        <w:rPr>
          <w:rFonts w:cs="Arial"/>
          <w:sz w:val="24"/>
        </w:rPr>
        <w:t xml:space="preserve">ith </w:t>
      </w:r>
      <w:r w:rsidR="007A40FB" w:rsidRPr="00534BA0">
        <w:rPr>
          <w:rFonts w:cs="Arial"/>
          <w:sz w:val="24"/>
        </w:rPr>
        <w:t>o</w:t>
      </w:r>
      <w:r w:rsidRPr="00534BA0">
        <w:rPr>
          <w:rFonts w:cs="Arial"/>
          <w:sz w:val="24"/>
        </w:rPr>
        <w:t xml:space="preserve">lder </w:t>
      </w:r>
      <w:r w:rsidR="007A40FB" w:rsidRPr="00534BA0">
        <w:rPr>
          <w:rFonts w:cs="Arial"/>
          <w:sz w:val="24"/>
        </w:rPr>
        <w:t>a</w:t>
      </w:r>
      <w:r w:rsidRPr="00534BA0">
        <w:rPr>
          <w:rFonts w:cs="Arial"/>
          <w:sz w:val="24"/>
        </w:rPr>
        <w:t xml:space="preserve">dults </w:t>
      </w:r>
      <w:r w:rsidR="007A40FB" w:rsidRPr="00534BA0">
        <w:rPr>
          <w:rFonts w:cs="Arial"/>
          <w:sz w:val="24"/>
        </w:rPr>
        <w:t>w</w:t>
      </w:r>
      <w:r w:rsidRPr="00534BA0">
        <w:rPr>
          <w:rFonts w:cs="Arial"/>
          <w:sz w:val="24"/>
        </w:rPr>
        <w:t xml:space="preserve">ith </w:t>
      </w:r>
      <w:r w:rsidR="007A40FB" w:rsidRPr="00534BA0">
        <w:rPr>
          <w:rFonts w:cs="Arial"/>
          <w:sz w:val="24"/>
        </w:rPr>
        <w:t>v</w:t>
      </w:r>
      <w:r w:rsidRPr="00534BA0">
        <w:rPr>
          <w:rFonts w:cs="Arial"/>
          <w:sz w:val="24"/>
        </w:rPr>
        <w:t xml:space="preserve">ision </w:t>
      </w:r>
      <w:r w:rsidR="007A40FB" w:rsidRPr="00534BA0">
        <w:rPr>
          <w:rFonts w:cs="Arial"/>
          <w:sz w:val="24"/>
        </w:rPr>
        <w:t>i</w:t>
      </w:r>
      <w:r w:rsidRPr="00534BA0">
        <w:rPr>
          <w:rFonts w:cs="Arial"/>
          <w:sz w:val="24"/>
        </w:rPr>
        <w:t xml:space="preserve">mpairment: </w:t>
      </w:r>
      <w:r w:rsidR="007A40FB" w:rsidRPr="00534BA0">
        <w:rPr>
          <w:rFonts w:cs="Arial"/>
          <w:sz w:val="24"/>
        </w:rPr>
        <w:t>l</w:t>
      </w:r>
      <w:r w:rsidRPr="00534BA0">
        <w:rPr>
          <w:rFonts w:cs="Arial"/>
          <w:sz w:val="24"/>
        </w:rPr>
        <w:t xml:space="preserve">essons </w:t>
      </w:r>
      <w:r w:rsidR="007A40FB" w:rsidRPr="00534BA0">
        <w:rPr>
          <w:rFonts w:cs="Arial"/>
          <w:sz w:val="24"/>
        </w:rPr>
        <w:t>l</w:t>
      </w:r>
      <w:r w:rsidRPr="00534BA0">
        <w:rPr>
          <w:rFonts w:cs="Arial"/>
          <w:sz w:val="24"/>
        </w:rPr>
        <w:t xml:space="preserve">earned and </w:t>
      </w:r>
      <w:r w:rsidR="004E7DBC" w:rsidRPr="00534BA0">
        <w:rPr>
          <w:rFonts w:cs="Arial"/>
          <w:sz w:val="24"/>
        </w:rPr>
        <w:t>r</w:t>
      </w:r>
      <w:r w:rsidRPr="00534BA0">
        <w:rPr>
          <w:rFonts w:cs="Arial"/>
          <w:sz w:val="24"/>
        </w:rPr>
        <w:t xml:space="preserve">ecommended </w:t>
      </w:r>
      <w:r w:rsidR="004E7DBC" w:rsidRPr="00534BA0">
        <w:rPr>
          <w:rFonts w:cs="Arial"/>
          <w:sz w:val="24"/>
        </w:rPr>
        <w:t>b</w:t>
      </w:r>
      <w:r w:rsidRPr="00534BA0">
        <w:rPr>
          <w:rFonts w:cs="Arial"/>
          <w:sz w:val="24"/>
        </w:rPr>
        <w:t xml:space="preserve">est </w:t>
      </w:r>
      <w:r w:rsidR="004E7DBC" w:rsidRPr="00534BA0">
        <w:rPr>
          <w:rFonts w:cs="Arial"/>
          <w:sz w:val="24"/>
        </w:rPr>
        <w:t>p</w:t>
      </w:r>
      <w:r w:rsidRPr="00534BA0">
        <w:rPr>
          <w:rFonts w:cs="Arial"/>
          <w:sz w:val="24"/>
        </w:rPr>
        <w:t xml:space="preserve">ractices. </w:t>
      </w:r>
      <w:proofErr w:type="spellStart"/>
      <w:r w:rsidRPr="00534BA0">
        <w:rPr>
          <w:rFonts w:cs="Arial"/>
          <w:i/>
          <w:sz w:val="24"/>
        </w:rPr>
        <w:t>Gerontol</w:t>
      </w:r>
      <w:proofErr w:type="spellEnd"/>
      <w:r w:rsidRPr="00534BA0">
        <w:rPr>
          <w:rFonts w:cs="Arial"/>
          <w:i/>
          <w:sz w:val="24"/>
        </w:rPr>
        <w:t xml:space="preserve"> </w:t>
      </w:r>
      <w:proofErr w:type="spellStart"/>
      <w:r w:rsidRPr="00534BA0">
        <w:rPr>
          <w:rFonts w:cs="Arial"/>
          <w:i/>
          <w:sz w:val="24"/>
        </w:rPr>
        <w:t>Geriatr</w:t>
      </w:r>
      <w:proofErr w:type="spellEnd"/>
      <w:r w:rsidRPr="00534BA0">
        <w:rPr>
          <w:rFonts w:cs="Arial"/>
          <w:i/>
          <w:sz w:val="24"/>
        </w:rPr>
        <w:t xml:space="preserve"> Med</w:t>
      </w:r>
      <w:r w:rsidRPr="00534BA0">
        <w:rPr>
          <w:rFonts w:cs="Arial"/>
          <w:sz w:val="24"/>
        </w:rPr>
        <w:t>,</w:t>
      </w:r>
      <w:r w:rsidRPr="00534BA0">
        <w:rPr>
          <w:rFonts w:cs="Arial"/>
          <w:i/>
          <w:sz w:val="24"/>
        </w:rPr>
        <w:t xml:space="preserve"> 4</w:t>
      </w:r>
      <w:r w:rsidRPr="00534BA0">
        <w:rPr>
          <w:rFonts w:cs="Arial"/>
          <w:sz w:val="24"/>
        </w:rPr>
        <w:t xml:space="preserve">, 2333721418812624. </w:t>
      </w:r>
      <w:hyperlink r:id="rId49" w:history="1">
        <w:r w:rsidRPr="00534BA0">
          <w:rPr>
            <w:rStyle w:val="Hyperlink"/>
            <w:rFonts w:cs="Arial"/>
            <w:color w:val="auto"/>
            <w:sz w:val="24"/>
            <w:u w:val="none"/>
          </w:rPr>
          <w:t>https://doi.org/10.1177/2333721418812624</w:t>
        </w:r>
      </w:hyperlink>
    </w:p>
    <w:p w14:paraId="2FC37F30" w14:textId="5C09CD92" w:rsidR="004E4662" w:rsidRPr="00534BA0" w:rsidRDefault="004E4662" w:rsidP="004E4662">
      <w:pPr>
        <w:rPr>
          <w:rFonts w:cs="Arial"/>
          <w:sz w:val="24"/>
        </w:rPr>
      </w:pPr>
      <w:r w:rsidRPr="00534BA0">
        <w:rPr>
          <w:rFonts w:cs="Arial"/>
          <w:sz w:val="24"/>
        </w:rPr>
        <w:t xml:space="preserve">Unger, A., Wallach, D. P., &amp; Jochems, N. (2021b). Lost in </w:t>
      </w:r>
      <w:r w:rsidR="00F148FF" w:rsidRPr="00534BA0">
        <w:rPr>
          <w:rFonts w:cs="Arial"/>
          <w:sz w:val="24"/>
        </w:rPr>
        <w:t>t</w:t>
      </w:r>
      <w:r w:rsidRPr="00534BA0">
        <w:rPr>
          <w:rFonts w:cs="Arial"/>
          <w:sz w:val="24"/>
        </w:rPr>
        <w:t xml:space="preserve">ranslation: </w:t>
      </w:r>
      <w:r w:rsidR="00F148FF" w:rsidRPr="00534BA0">
        <w:rPr>
          <w:rFonts w:cs="Arial"/>
          <w:sz w:val="24"/>
        </w:rPr>
        <w:t>c</w:t>
      </w:r>
      <w:r w:rsidRPr="00534BA0">
        <w:rPr>
          <w:rFonts w:cs="Arial"/>
          <w:sz w:val="24"/>
        </w:rPr>
        <w:t xml:space="preserve">hallenges and </w:t>
      </w:r>
      <w:r w:rsidR="00F148FF" w:rsidRPr="00534BA0">
        <w:rPr>
          <w:rFonts w:cs="Arial"/>
          <w:sz w:val="24"/>
        </w:rPr>
        <w:t>b</w:t>
      </w:r>
      <w:r w:rsidRPr="00534BA0">
        <w:rPr>
          <w:rFonts w:cs="Arial"/>
          <w:sz w:val="24"/>
        </w:rPr>
        <w:t xml:space="preserve">arriers to </w:t>
      </w:r>
      <w:r w:rsidR="00F148FF" w:rsidRPr="00534BA0">
        <w:rPr>
          <w:rFonts w:cs="Arial"/>
          <w:sz w:val="24"/>
        </w:rPr>
        <w:t>s</w:t>
      </w:r>
      <w:r w:rsidRPr="00534BA0">
        <w:rPr>
          <w:rFonts w:cs="Arial"/>
          <w:sz w:val="24"/>
        </w:rPr>
        <w:t xml:space="preserve">ign </w:t>
      </w:r>
      <w:r w:rsidR="00F148FF" w:rsidRPr="00534BA0">
        <w:rPr>
          <w:rFonts w:cs="Arial"/>
          <w:sz w:val="24"/>
        </w:rPr>
        <w:t>l</w:t>
      </w:r>
      <w:r w:rsidRPr="00534BA0">
        <w:rPr>
          <w:rFonts w:cs="Arial"/>
          <w:sz w:val="24"/>
        </w:rPr>
        <w:t>anguage-</w:t>
      </w:r>
      <w:r w:rsidR="00F148FF" w:rsidRPr="00534BA0">
        <w:rPr>
          <w:rFonts w:cs="Arial"/>
          <w:sz w:val="24"/>
        </w:rPr>
        <w:t>a</w:t>
      </w:r>
      <w:r w:rsidRPr="00534BA0">
        <w:rPr>
          <w:rFonts w:cs="Arial"/>
          <w:sz w:val="24"/>
        </w:rPr>
        <w:t xml:space="preserve">ccessible </w:t>
      </w:r>
      <w:r w:rsidR="00F148FF" w:rsidRPr="00534BA0">
        <w:rPr>
          <w:rFonts w:cs="Arial"/>
          <w:sz w:val="24"/>
        </w:rPr>
        <w:t>u</w:t>
      </w:r>
      <w:r w:rsidRPr="00534BA0">
        <w:rPr>
          <w:rFonts w:cs="Arial"/>
          <w:sz w:val="24"/>
        </w:rPr>
        <w:t xml:space="preserve">ser </w:t>
      </w:r>
      <w:r w:rsidR="00F148FF" w:rsidRPr="00534BA0">
        <w:rPr>
          <w:rFonts w:cs="Arial"/>
          <w:sz w:val="24"/>
        </w:rPr>
        <w:t>r</w:t>
      </w:r>
      <w:r w:rsidRPr="00534BA0">
        <w:rPr>
          <w:rFonts w:cs="Arial"/>
          <w:sz w:val="24"/>
        </w:rPr>
        <w:t xml:space="preserve">esearch. </w:t>
      </w:r>
      <w:r w:rsidRPr="00534BA0">
        <w:rPr>
          <w:rFonts w:cs="Arial"/>
          <w:i/>
          <w:sz w:val="24"/>
        </w:rPr>
        <w:t>Computers and Accessibility (ASSETS '21). 37</w:t>
      </w:r>
      <w:r w:rsidRPr="00534BA0">
        <w:rPr>
          <w:rFonts w:cs="Arial"/>
          <w:sz w:val="24"/>
        </w:rPr>
        <w:t xml:space="preserve">, 1-5. </w:t>
      </w:r>
    </w:p>
    <w:p w14:paraId="79F32BCD" w14:textId="77777777" w:rsidR="004E4662" w:rsidRPr="00534BA0" w:rsidRDefault="004E4662" w:rsidP="004E4662">
      <w:pPr>
        <w:rPr>
          <w:rFonts w:cs="Arial"/>
          <w:sz w:val="24"/>
        </w:rPr>
      </w:pPr>
      <w:r w:rsidRPr="00534BA0">
        <w:rPr>
          <w:rFonts w:cs="Arial"/>
          <w:sz w:val="24"/>
        </w:rPr>
        <w:t xml:space="preserve">Wallerstein, N., &amp; Duran, B. (2006). Using community-based participatory </w:t>
      </w:r>
      <w:proofErr w:type="spellStart"/>
      <w:r w:rsidRPr="00534BA0">
        <w:rPr>
          <w:rFonts w:cs="Arial"/>
          <w:sz w:val="24"/>
        </w:rPr>
        <w:t>reseach</w:t>
      </w:r>
      <w:proofErr w:type="spellEnd"/>
      <w:r w:rsidRPr="00534BA0">
        <w:rPr>
          <w:rFonts w:cs="Arial"/>
          <w:sz w:val="24"/>
        </w:rPr>
        <w:t xml:space="preserve"> to address health disparities. </w:t>
      </w:r>
      <w:r w:rsidRPr="00534BA0">
        <w:rPr>
          <w:rFonts w:cs="Arial"/>
          <w:i/>
          <w:sz w:val="24"/>
        </w:rPr>
        <w:t>Health Promotion Practice</w:t>
      </w:r>
      <w:r w:rsidRPr="00534BA0">
        <w:rPr>
          <w:rFonts w:cs="Arial"/>
          <w:sz w:val="24"/>
        </w:rPr>
        <w:t>,</w:t>
      </w:r>
      <w:r w:rsidRPr="00534BA0">
        <w:rPr>
          <w:rFonts w:cs="Arial"/>
          <w:i/>
          <w:sz w:val="24"/>
        </w:rPr>
        <w:t xml:space="preserve"> 7</w:t>
      </w:r>
      <w:r w:rsidRPr="00534BA0">
        <w:rPr>
          <w:rFonts w:cs="Arial"/>
          <w:sz w:val="24"/>
        </w:rPr>
        <w:t xml:space="preserve">, 312-323. </w:t>
      </w:r>
    </w:p>
    <w:p w14:paraId="00E44FBD" w14:textId="554076BE" w:rsidR="004E4662" w:rsidRPr="00534BA0" w:rsidRDefault="004E4662" w:rsidP="004E4662">
      <w:pPr>
        <w:rPr>
          <w:rFonts w:cs="Arial"/>
          <w:sz w:val="24"/>
        </w:rPr>
      </w:pPr>
      <w:r w:rsidRPr="00534BA0">
        <w:rPr>
          <w:rFonts w:cs="Arial"/>
          <w:sz w:val="24"/>
        </w:rPr>
        <w:t xml:space="preserve">Wark, S., MacPhail, C., McKay, K., et al (2017). Informed consent in a vulnerable population group: </w:t>
      </w:r>
      <w:r w:rsidR="00601E4F" w:rsidRPr="00534BA0">
        <w:rPr>
          <w:rFonts w:cs="Arial"/>
          <w:sz w:val="24"/>
        </w:rPr>
        <w:t>s</w:t>
      </w:r>
      <w:r w:rsidRPr="00534BA0">
        <w:rPr>
          <w:rFonts w:cs="Arial"/>
          <w:sz w:val="24"/>
        </w:rPr>
        <w:t xml:space="preserve">upporting individuals aging with intellectual disability to participate in developing their own health and support programs. </w:t>
      </w:r>
      <w:r w:rsidRPr="00534BA0">
        <w:rPr>
          <w:rFonts w:cs="Arial"/>
          <w:i/>
          <w:sz w:val="24"/>
        </w:rPr>
        <w:t>Aust Health Rev</w:t>
      </w:r>
      <w:r w:rsidRPr="00534BA0">
        <w:rPr>
          <w:rFonts w:cs="Arial"/>
          <w:sz w:val="24"/>
        </w:rPr>
        <w:t>,</w:t>
      </w:r>
      <w:r w:rsidRPr="00534BA0">
        <w:rPr>
          <w:rFonts w:cs="Arial"/>
          <w:i/>
          <w:sz w:val="24"/>
        </w:rPr>
        <w:t xml:space="preserve"> 41</w:t>
      </w:r>
      <w:r w:rsidRPr="00534BA0">
        <w:rPr>
          <w:rFonts w:cs="Arial"/>
          <w:sz w:val="24"/>
        </w:rPr>
        <w:t xml:space="preserve">(4), 436-442. </w:t>
      </w:r>
    </w:p>
    <w:p w14:paraId="51D3A74D" w14:textId="77777777" w:rsidR="004E4662" w:rsidRPr="00534BA0" w:rsidRDefault="004E4662" w:rsidP="004E4662">
      <w:pPr>
        <w:rPr>
          <w:rFonts w:cs="Arial"/>
          <w:sz w:val="24"/>
        </w:rPr>
      </w:pPr>
      <w:r w:rsidRPr="00534BA0">
        <w:rPr>
          <w:rFonts w:cs="Arial"/>
          <w:sz w:val="24"/>
        </w:rPr>
        <w:t xml:space="preserve">Watharow, A., &amp; Wayland, S. (2022). Making qualitative research inclusive: methodological insights in disability research. </w:t>
      </w:r>
      <w:r w:rsidRPr="00534BA0">
        <w:rPr>
          <w:rFonts w:cs="Arial"/>
          <w:i/>
          <w:sz w:val="24"/>
        </w:rPr>
        <w:t>International Journal of Qualitative Methods</w:t>
      </w:r>
      <w:r w:rsidRPr="00534BA0">
        <w:rPr>
          <w:rFonts w:cs="Arial"/>
          <w:sz w:val="24"/>
        </w:rPr>
        <w:t>,</w:t>
      </w:r>
      <w:r w:rsidRPr="00534BA0">
        <w:rPr>
          <w:rFonts w:cs="Arial"/>
          <w:i/>
          <w:sz w:val="24"/>
        </w:rPr>
        <w:t xml:space="preserve"> 21</w:t>
      </w:r>
      <w:r w:rsidRPr="00534BA0">
        <w:rPr>
          <w:rFonts w:cs="Arial"/>
          <w:sz w:val="24"/>
        </w:rPr>
        <w:t xml:space="preserve">. </w:t>
      </w:r>
      <w:hyperlink r:id="rId50" w:history="1">
        <w:r w:rsidRPr="00534BA0">
          <w:rPr>
            <w:rStyle w:val="Hyperlink"/>
            <w:rFonts w:cs="Arial"/>
            <w:color w:val="auto"/>
            <w:sz w:val="24"/>
            <w:u w:val="none"/>
          </w:rPr>
          <w:t>https://doi.org/10.1177/16094069221095316</w:t>
        </w:r>
      </w:hyperlink>
    </w:p>
    <w:p w14:paraId="3FC6242B" w14:textId="77777777" w:rsidR="004E4662" w:rsidRPr="00534BA0" w:rsidRDefault="004E4662" w:rsidP="004E4662">
      <w:pPr>
        <w:rPr>
          <w:rFonts w:cs="Arial"/>
          <w:sz w:val="24"/>
        </w:rPr>
      </w:pPr>
      <w:r w:rsidRPr="00534BA0">
        <w:rPr>
          <w:rFonts w:cs="Arial"/>
          <w:sz w:val="24"/>
        </w:rPr>
        <w:t xml:space="preserve">Watharow, A., &amp; Wayland, S. (2024). Different ways of being, doing and telling in qualitative research: lessons from d/Deafblind studies. </w:t>
      </w:r>
      <w:r w:rsidRPr="00534BA0">
        <w:rPr>
          <w:rFonts w:cs="Arial"/>
          <w:i/>
          <w:sz w:val="24"/>
        </w:rPr>
        <w:t>International Journal of Qualitative Methods</w:t>
      </w:r>
      <w:r w:rsidRPr="00534BA0">
        <w:rPr>
          <w:rFonts w:cs="Arial"/>
          <w:sz w:val="24"/>
        </w:rPr>
        <w:t>,</w:t>
      </w:r>
      <w:r w:rsidRPr="00534BA0">
        <w:rPr>
          <w:rFonts w:cs="Arial"/>
          <w:i/>
          <w:sz w:val="24"/>
        </w:rPr>
        <w:t xml:space="preserve"> 23. </w:t>
      </w:r>
      <w:hyperlink r:id="rId51" w:history="1">
        <w:r w:rsidRPr="00534BA0">
          <w:rPr>
            <w:rStyle w:val="Hyperlink"/>
            <w:rFonts w:cs="Arial"/>
            <w:color w:val="auto"/>
            <w:sz w:val="24"/>
            <w:u w:val="none"/>
          </w:rPr>
          <w:t>https://doi.org/10.1177/16094069241244864</w:t>
        </w:r>
      </w:hyperlink>
      <w:r w:rsidRPr="00534BA0">
        <w:rPr>
          <w:rFonts w:cs="Arial"/>
          <w:sz w:val="24"/>
        </w:rPr>
        <w:t>.</w:t>
      </w:r>
    </w:p>
    <w:p w14:paraId="2F6659D8" w14:textId="77777777" w:rsidR="004E4662" w:rsidRPr="00534BA0" w:rsidRDefault="004E4662" w:rsidP="004E4662">
      <w:pPr>
        <w:rPr>
          <w:rFonts w:cs="Arial"/>
          <w:sz w:val="24"/>
        </w:rPr>
      </w:pPr>
      <w:r w:rsidRPr="00534BA0">
        <w:rPr>
          <w:rFonts w:cs="Arial"/>
          <w:sz w:val="24"/>
        </w:rPr>
        <w:t xml:space="preserve">Wells, G., Bowden, J., Colyer, D., et al (2024). Exploratory interviews with Australian clinical research staff on how they communicate with participants. </w:t>
      </w:r>
      <w:r w:rsidRPr="00534BA0">
        <w:rPr>
          <w:rFonts w:cs="Arial"/>
          <w:i/>
          <w:sz w:val="24"/>
        </w:rPr>
        <w:t xml:space="preserve">BMC Med Res </w:t>
      </w:r>
      <w:proofErr w:type="spellStart"/>
      <w:r w:rsidRPr="00534BA0">
        <w:rPr>
          <w:rFonts w:cs="Arial"/>
          <w:i/>
          <w:sz w:val="24"/>
        </w:rPr>
        <w:t>Methodol</w:t>
      </w:r>
      <w:proofErr w:type="spellEnd"/>
      <w:r w:rsidRPr="00534BA0">
        <w:rPr>
          <w:rFonts w:cs="Arial"/>
          <w:sz w:val="24"/>
        </w:rPr>
        <w:t>,</w:t>
      </w:r>
      <w:r w:rsidRPr="00534BA0">
        <w:rPr>
          <w:rFonts w:cs="Arial"/>
          <w:i/>
          <w:sz w:val="24"/>
        </w:rPr>
        <w:t xml:space="preserve"> 24</w:t>
      </w:r>
      <w:r w:rsidRPr="00534BA0">
        <w:rPr>
          <w:rFonts w:cs="Arial"/>
          <w:sz w:val="24"/>
        </w:rPr>
        <w:t xml:space="preserve">(1), 319. </w:t>
      </w:r>
      <w:hyperlink r:id="rId52" w:history="1">
        <w:r w:rsidRPr="00534BA0">
          <w:rPr>
            <w:rStyle w:val="Hyperlink"/>
            <w:rFonts w:cs="Arial"/>
            <w:color w:val="auto"/>
            <w:sz w:val="24"/>
            <w:u w:val="none"/>
          </w:rPr>
          <w:t>https://doi.org/10.1186/s12874-024-02417-w</w:t>
        </w:r>
      </w:hyperlink>
    </w:p>
    <w:p w14:paraId="04916D3E" w14:textId="77777777" w:rsidR="004E4662" w:rsidRPr="00534BA0" w:rsidRDefault="004E4662" w:rsidP="004E4662">
      <w:pPr>
        <w:rPr>
          <w:rFonts w:cs="Arial"/>
          <w:sz w:val="24"/>
        </w:rPr>
      </w:pPr>
      <w:r w:rsidRPr="00534BA0">
        <w:rPr>
          <w:rFonts w:cs="Arial"/>
          <w:sz w:val="24"/>
        </w:rPr>
        <w:t xml:space="preserve">Wiles, L. K., Kay, D., Luker, J. A., et al (2022). Consumer engagement in health care policy, research and services: A systematic review and meta-analysis of methods and effects. </w:t>
      </w:r>
      <w:proofErr w:type="spellStart"/>
      <w:r w:rsidRPr="00534BA0">
        <w:rPr>
          <w:rFonts w:cs="Arial"/>
          <w:i/>
          <w:sz w:val="24"/>
        </w:rPr>
        <w:t>PLoS</w:t>
      </w:r>
      <w:proofErr w:type="spellEnd"/>
      <w:r w:rsidRPr="00534BA0">
        <w:rPr>
          <w:rFonts w:cs="Arial"/>
          <w:i/>
          <w:sz w:val="24"/>
        </w:rPr>
        <w:t xml:space="preserve"> One</w:t>
      </w:r>
      <w:r w:rsidRPr="00534BA0">
        <w:rPr>
          <w:rFonts w:cs="Arial"/>
          <w:sz w:val="24"/>
        </w:rPr>
        <w:t>,</w:t>
      </w:r>
      <w:r w:rsidRPr="00534BA0">
        <w:rPr>
          <w:rFonts w:cs="Arial"/>
          <w:i/>
          <w:sz w:val="24"/>
        </w:rPr>
        <w:t xml:space="preserve"> 17</w:t>
      </w:r>
      <w:r w:rsidRPr="00534BA0">
        <w:rPr>
          <w:rFonts w:cs="Arial"/>
          <w:sz w:val="24"/>
        </w:rPr>
        <w:t xml:space="preserve">(1), e0261808. </w:t>
      </w:r>
      <w:hyperlink r:id="rId53" w:history="1">
        <w:r w:rsidRPr="00534BA0">
          <w:rPr>
            <w:rStyle w:val="Hyperlink"/>
            <w:rFonts w:cs="Arial"/>
            <w:color w:val="auto"/>
            <w:sz w:val="24"/>
            <w:u w:val="none"/>
          </w:rPr>
          <w:t>https://doi.org/10.1371/journal.pone.0261808</w:t>
        </w:r>
      </w:hyperlink>
    </w:p>
    <w:p w14:paraId="5A1898B9" w14:textId="77777777" w:rsidR="004E4662" w:rsidRPr="00534BA0" w:rsidRDefault="004E4662" w:rsidP="004E4662">
      <w:pPr>
        <w:rPr>
          <w:rFonts w:cs="Arial"/>
          <w:sz w:val="24"/>
        </w:rPr>
      </w:pPr>
      <w:r w:rsidRPr="00534BA0">
        <w:rPr>
          <w:rFonts w:cs="Arial"/>
          <w:sz w:val="24"/>
        </w:rPr>
        <w:t xml:space="preserve">Williams, A. S. (2002). A focus group study of accessibility and related psychosocial issues in diabetes education for people with visual impairment. </w:t>
      </w:r>
      <w:r w:rsidRPr="00534BA0">
        <w:rPr>
          <w:rFonts w:cs="Arial"/>
          <w:i/>
          <w:sz w:val="24"/>
        </w:rPr>
        <w:t>Diabetes Educ</w:t>
      </w:r>
      <w:r w:rsidRPr="00534BA0">
        <w:rPr>
          <w:rFonts w:cs="Arial"/>
          <w:sz w:val="24"/>
        </w:rPr>
        <w:t>,</w:t>
      </w:r>
      <w:r w:rsidRPr="00534BA0">
        <w:rPr>
          <w:rFonts w:cs="Arial"/>
          <w:i/>
          <w:sz w:val="24"/>
        </w:rPr>
        <w:t xml:space="preserve"> 28</w:t>
      </w:r>
      <w:r w:rsidRPr="00534BA0">
        <w:rPr>
          <w:rFonts w:cs="Arial"/>
          <w:sz w:val="24"/>
        </w:rPr>
        <w:t xml:space="preserve">(6), 999-1008. </w:t>
      </w:r>
    </w:p>
    <w:p w14:paraId="7CA7C9B2" w14:textId="77777777" w:rsidR="004E4662" w:rsidRPr="00534BA0" w:rsidRDefault="004E4662" w:rsidP="004E4662">
      <w:pPr>
        <w:rPr>
          <w:rFonts w:cs="Arial"/>
          <w:sz w:val="24"/>
        </w:rPr>
      </w:pPr>
      <w:r w:rsidRPr="00534BA0">
        <w:rPr>
          <w:rFonts w:cs="Arial"/>
          <w:sz w:val="24"/>
        </w:rPr>
        <w:t xml:space="preserve">Withers, J., &amp; Speight, C. (2017). Health Care for Individuals with Hearing Loss or Vision Loss: A Minefield of Barriers to Accessibility. </w:t>
      </w:r>
      <w:r w:rsidRPr="00534BA0">
        <w:rPr>
          <w:rFonts w:cs="Arial"/>
          <w:i/>
          <w:sz w:val="24"/>
        </w:rPr>
        <w:t>N C Med J</w:t>
      </w:r>
      <w:r w:rsidRPr="00534BA0">
        <w:rPr>
          <w:rFonts w:cs="Arial"/>
          <w:sz w:val="24"/>
        </w:rPr>
        <w:t>,</w:t>
      </w:r>
      <w:r w:rsidRPr="00534BA0">
        <w:rPr>
          <w:rFonts w:cs="Arial"/>
          <w:i/>
          <w:sz w:val="24"/>
        </w:rPr>
        <w:t xml:space="preserve"> 78</w:t>
      </w:r>
      <w:r w:rsidRPr="00534BA0">
        <w:rPr>
          <w:rFonts w:cs="Arial"/>
          <w:sz w:val="24"/>
        </w:rPr>
        <w:t xml:space="preserve">(2), 107-112. </w:t>
      </w:r>
    </w:p>
    <w:p w14:paraId="4BF19F5C" w14:textId="77777777" w:rsidR="004E4662" w:rsidRPr="00534BA0" w:rsidRDefault="004E4662" w:rsidP="004E4662">
      <w:pPr>
        <w:rPr>
          <w:rFonts w:cs="Arial"/>
          <w:sz w:val="24"/>
        </w:rPr>
      </w:pPr>
      <w:r w:rsidRPr="00534BA0">
        <w:rPr>
          <w:rFonts w:cs="Arial"/>
          <w:sz w:val="24"/>
        </w:rPr>
        <w:t xml:space="preserve">Wittich, W., Boie, N. R., Jaiswal, A. (2023). Methodological approaches to obtaining informed consent when conducting research with individuals with </w:t>
      </w:r>
      <w:proofErr w:type="spellStart"/>
      <w:r w:rsidRPr="00534BA0">
        <w:rPr>
          <w:rFonts w:cs="Arial"/>
          <w:sz w:val="24"/>
        </w:rPr>
        <w:t>Deafblindness</w:t>
      </w:r>
      <w:proofErr w:type="spellEnd"/>
      <w:r w:rsidRPr="00534BA0">
        <w:rPr>
          <w:rFonts w:cs="Arial"/>
          <w:sz w:val="24"/>
        </w:rPr>
        <w:t xml:space="preserve">. </w:t>
      </w:r>
      <w:r w:rsidRPr="00534BA0">
        <w:rPr>
          <w:rFonts w:cs="Arial"/>
          <w:i/>
          <w:sz w:val="24"/>
        </w:rPr>
        <w:t>International Journal of Qualitative Methods</w:t>
      </w:r>
      <w:r w:rsidRPr="00534BA0">
        <w:rPr>
          <w:rFonts w:cs="Arial"/>
          <w:sz w:val="24"/>
        </w:rPr>
        <w:t>,</w:t>
      </w:r>
      <w:r w:rsidRPr="00534BA0">
        <w:rPr>
          <w:rFonts w:cs="Arial"/>
          <w:i/>
          <w:sz w:val="24"/>
        </w:rPr>
        <w:t xml:space="preserve"> 22. </w:t>
      </w:r>
      <w:hyperlink r:id="rId54" w:history="1">
        <w:r w:rsidRPr="00534BA0">
          <w:rPr>
            <w:rStyle w:val="Hyperlink"/>
            <w:rFonts w:cs="Arial"/>
            <w:color w:val="auto"/>
            <w:sz w:val="24"/>
            <w:u w:val="none"/>
          </w:rPr>
          <w:t>https://doi.org/10.1177/16094069231205176</w:t>
        </w:r>
      </w:hyperlink>
      <w:r w:rsidRPr="00534BA0">
        <w:rPr>
          <w:rFonts w:cs="Arial"/>
          <w:sz w:val="24"/>
        </w:rPr>
        <w:t>.</w:t>
      </w:r>
    </w:p>
    <w:p w14:paraId="0F7B6344" w14:textId="77777777" w:rsidR="004E4662" w:rsidRPr="00526B42" w:rsidRDefault="004E4662" w:rsidP="004E4662">
      <w:pPr>
        <w:rPr>
          <w:rFonts w:cs="Arial"/>
          <w:sz w:val="24"/>
        </w:rPr>
      </w:pPr>
      <w:proofErr w:type="spellStart"/>
      <w:r w:rsidRPr="00526B42">
        <w:rPr>
          <w:rFonts w:cs="Arial"/>
          <w:sz w:val="24"/>
        </w:rPr>
        <w:t>Wobbrock</w:t>
      </w:r>
      <w:proofErr w:type="spellEnd"/>
      <w:r w:rsidRPr="00526B42">
        <w:rPr>
          <w:rFonts w:cs="Arial"/>
          <w:sz w:val="24"/>
        </w:rPr>
        <w:t xml:space="preserve">, J. O., Gajos, K. Z., Kane, S. K., et al (2018). Ability-based design. </w:t>
      </w:r>
      <w:r w:rsidRPr="00526B42">
        <w:rPr>
          <w:rFonts w:cs="Arial"/>
          <w:i/>
          <w:iCs/>
          <w:sz w:val="24"/>
        </w:rPr>
        <w:t>Communications of the ACM</w:t>
      </w:r>
      <w:r w:rsidRPr="00526B42">
        <w:rPr>
          <w:rFonts w:cs="Arial"/>
          <w:sz w:val="24"/>
        </w:rPr>
        <w:t xml:space="preserve">, </w:t>
      </w:r>
      <w:r w:rsidRPr="00526B42">
        <w:rPr>
          <w:rFonts w:cs="Arial"/>
          <w:i/>
          <w:iCs/>
          <w:sz w:val="24"/>
        </w:rPr>
        <w:t>61</w:t>
      </w:r>
      <w:r w:rsidRPr="00526B42">
        <w:rPr>
          <w:rFonts w:cs="Arial"/>
          <w:sz w:val="24"/>
        </w:rPr>
        <w:t xml:space="preserve">(6), 62–71. </w:t>
      </w:r>
    </w:p>
    <w:p w14:paraId="4089C249" w14:textId="10E77371" w:rsidR="00032B30" w:rsidRPr="00534BA0" w:rsidRDefault="004E4662" w:rsidP="002C5B96">
      <w:pPr>
        <w:rPr>
          <w:rFonts w:cs="Arial"/>
          <w:sz w:val="24"/>
        </w:rPr>
      </w:pPr>
      <w:r w:rsidRPr="00534BA0">
        <w:rPr>
          <w:rFonts w:cs="Arial"/>
          <w:sz w:val="24"/>
        </w:rPr>
        <w:t xml:space="preserve">Young, A., Oram, R., Dodds, C., et al (2016). A qualitative exploration of trial-related terminology in a study involving Deaf British Sign Language users. </w:t>
      </w:r>
      <w:r w:rsidRPr="00534BA0">
        <w:rPr>
          <w:rFonts w:cs="Arial"/>
          <w:i/>
          <w:sz w:val="24"/>
        </w:rPr>
        <w:t>Trials</w:t>
      </w:r>
      <w:r w:rsidRPr="00534BA0">
        <w:rPr>
          <w:rFonts w:cs="Arial"/>
          <w:sz w:val="24"/>
        </w:rPr>
        <w:t>,</w:t>
      </w:r>
      <w:r w:rsidRPr="00534BA0">
        <w:rPr>
          <w:rFonts w:cs="Arial"/>
          <w:i/>
          <w:sz w:val="24"/>
        </w:rPr>
        <w:t xml:space="preserve"> 17</w:t>
      </w:r>
      <w:r w:rsidRPr="00534BA0">
        <w:rPr>
          <w:rFonts w:cs="Arial"/>
          <w:sz w:val="24"/>
        </w:rPr>
        <w:t xml:space="preserve">(1), 219. </w:t>
      </w:r>
      <w:hyperlink r:id="rId55" w:history="1">
        <w:r w:rsidRPr="00534BA0">
          <w:rPr>
            <w:rStyle w:val="Hyperlink"/>
            <w:rFonts w:cs="Arial"/>
            <w:color w:val="auto"/>
            <w:sz w:val="24"/>
            <w:u w:val="none"/>
          </w:rPr>
          <w:t>https://doi.org/10.1186/s13063-016-1349-6</w:t>
        </w:r>
      </w:hyperlink>
      <w:bookmarkStart w:id="24" w:name="bookmark=id.ihv636" w:colFirst="0" w:colLast="0"/>
      <w:bookmarkStart w:id="25" w:name="bookmark=id.23ckvvd" w:colFirst="0" w:colLast="0"/>
      <w:bookmarkStart w:id="26" w:name="bookmark=id.32hioqz" w:colFirst="0" w:colLast="0"/>
      <w:bookmarkEnd w:id="24"/>
      <w:bookmarkEnd w:id="25"/>
      <w:bookmarkEnd w:id="26"/>
    </w:p>
    <w:p w14:paraId="3B210AC9" w14:textId="1F0213AB" w:rsidR="001E5996" w:rsidRPr="00595884" w:rsidRDefault="00923140" w:rsidP="00595884">
      <w:pPr>
        <w:pStyle w:val="Heading1"/>
        <w:spacing w:after="240"/>
      </w:pPr>
      <w:r>
        <w:t>Tables to follow</w:t>
      </w:r>
      <w:r w:rsidR="00ED6592" w:rsidRPr="00526B42">
        <w:t xml:space="preserve"> </w:t>
      </w:r>
    </w:p>
    <w:p w14:paraId="7369194C" w14:textId="11FA9FD1" w:rsidR="00B30CD4" w:rsidRPr="00B64E7B" w:rsidRDefault="00B30CD4" w:rsidP="00297C6F">
      <w:pPr>
        <w:spacing w:before="0" w:after="0" w:line="240" w:lineRule="auto"/>
      </w:pPr>
    </w:p>
    <w:p w14:paraId="6C1B67AC" w14:textId="77777777" w:rsidR="00B30CD4" w:rsidRPr="00526B42" w:rsidRDefault="00B30CD4" w:rsidP="00297C6F">
      <w:pPr>
        <w:spacing w:before="0" w:after="0" w:line="240" w:lineRule="auto"/>
      </w:pPr>
    </w:p>
    <w:p w14:paraId="2BE004C3" w14:textId="77777777" w:rsidR="00B30CD4" w:rsidRPr="00526B42" w:rsidRDefault="00B30CD4" w:rsidP="00297C6F">
      <w:pPr>
        <w:spacing w:before="0" w:after="0" w:line="240" w:lineRule="auto"/>
      </w:pPr>
    </w:p>
    <w:p w14:paraId="081B2819" w14:textId="77777777" w:rsidR="00B30CD4" w:rsidRPr="00526B42" w:rsidRDefault="00B30CD4" w:rsidP="00297C6F">
      <w:pPr>
        <w:spacing w:before="0" w:after="0" w:line="240" w:lineRule="auto"/>
      </w:pPr>
    </w:p>
    <w:p w14:paraId="209D6BBF" w14:textId="77777777" w:rsidR="00B30CD4" w:rsidRPr="00526B42" w:rsidRDefault="00B30CD4" w:rsidP="00297C6F">
      <w:pPr>
        <w:spacing w:before="0" w:after="0" w:line="240" w:lineRule="auto"/>
      </w:pPr>
    </w:p>
    <w:p w14:paraId="47E88F6F" w14:textId="77777777" w:rsidR="00B30CD4" w:rsidRPr="00526B42" w:rsidRDefault="00B30CD4" w:rsidP="00297C6F">
      <w:pPr>
        <w:spacing w:before="0" w:after="0" w:line="240" w:lineRule="auto"/>
      </w:pPr>
    </w:p>
    <w:p w14:paraId="2E5F244B" w14:textId="77777777" w:rsidR="00B30CD4" w:rsidRPr="00526B42" w:rsidRDefault="00B30CD4" w:rsidP="00297C6F">
      <w:pPr>
        <w:spacing w:before="0" w:after="0" w:line="240" w:lineRule="auto"/>
      </w:pPr>
    </w:p>
    <w:p w14:paraId="049969AC" w14:textId="77777777" w:rsidR="00B30CD4" w:rsidRPr="00526B42" w:rsidRDefault="00B30CD4" w:rsidP="00297C6F">
      <w:pPr>
        <w:spacing w:before="0" w:after="0" w:line="240" w:lineRule="auto"/>
      </w:pPr>
    </w:p>
    <w:p w14:paraId="663C3C77" w14:textId="77777777" w:rsidR="00B30CD4" w:rsidRPr="00526B42" w:rsidRDefault="00B30CD4" w:rsidP="00297C6F">
      <w:pPr>
        <w:spacing w:before="0" w:after="0" w:line="240" w:lineRule="auto"/>
      </w:pPr>
    </w:p>
    <w:p w14:paraId="08190CEF" w14:textId="77777777" w:rsidR="00B30CD4" w:rsidRPr="00526B42" w:rsidRDefault="00B30CD4" w:rsidP="00297C6F">
      <w:pPr>
        <w:spacing w:before="0" w:after="0" w:line="240" w:lineRule="auto"/>
      </w:pPr>
    </w:p>
    <w:p w14:paraId="7DF06EF8" w14:textId="77777777" w:rsidR="00B30CD4" w:rsidRPr="00526B42" w:rsidRDefault="00B30CD4" w:rsidP="00297C6F">
      <w:pPr>
        <w:spacing w:before="0" w:after="0" w:line="240" w:lineRule="auto"/>
      </w:pPr>
    </w:p>
    <w:p w14:paraId="6070790C" w14:textId="77777777" w:rsidR="00B30CD4" w:rsidRPr="00526B42" w:rsidRDefault="00B30CD4" w:rsidP="00297C6F">
      <w:pPr>
        <w:spacing w:before="0" w:after="0" w:line="240" w:lineRule="auto"/>
      </w:pPr>
    </w:p>
    <w:p w14:paraId="29632F03" w14:textId="77777777" w:rsidR="00B30CD4" w:rsidRPr="00526B42" w:rsidRDefault="00B30CD4" w:rsidP="00297C6F">
      <w:pPr>
        <w:spacing w:before="0" w:after="0" w:line="240" w:lineRule="auto"/>
      </w:pPr>
    </w:p>
    <w:p w14:paraId="31C0608E" w14:textId="77777777" w:rsidR="00B30CD4" w:rsidRPr="00526B42" w:rsidRDefault="00B30CD4" w:rsidP="00297C6F">
      <w:pPr>
        <w:spacing w:before="0" w:after="0" w:line="240" w:lineRule="auto"/>
      </w:pPr>
    </w:p>
    <w:p w14:paraId="3F4E9905" w14:textId="77777777" w:rsidR="00B30CD4" w:rsidRPr="00526B42" w:rsidRDefault="00B30CD4" w:rsidP="00297C6F">
      <w:pPr>
        <w:spacing w:before="0" w:after="0" w:line="240" w:lineRule="auto"/>
      </w:pPr>
    </w:p>
    <w:p w14:paraId="1C40F10B" w14:textId="77777777" w:rsidR="00EE4FAE" w:rsidRPr="00526B42" w:rsidRDefault="00EE4FAE" w:rsidP="00EE4FAE">
      <w:pPr>
        <w:pStyle w:val="Heading1"/>
        <w:sectPr w:rsidR="00EE4FAE" w:rsidRPr="00526B42">
          <w:footerReference w:type="default" r:id="rId56"/>
          <w:pgSz w:w="12240" w:h="15840"/>
          <w:pgMar w:top="1440" w:right="1440" w:bottom="1440" w:left="1440" w:header="708" w:footer="708" w:gutter="0"/>
          <w:pgNumType w:start="1"/>
          <w:cols w:space="720"/>
        </w:sectPr>
      </w:pPr>
    </w:p>
    <w:p w14:paraId="1CDFF3ED" w14:textId="77777777" w:rsidR="00EE4FAE" w:rsidRPr="00526B42" w:rsidRDefault="00EE4FAE" w:rsidP="00EE4FAE">
      <w:pPr>
        <w:pStyle w:val="Heading1"/>
      </w:pPr>
      <w:r w:rsidRPr="00526B42">
        <w:t>Tables</w:t>
      </w:r>
    </w:p>
    <w:p w14:paraId="4D88B37A" w14:textId="77777777" w:rsidR="00876A3B" w:rsidRDefault="00876A3B" w:rsidP="00876A3B">
      <w:pPr>
        <w:spacing w:before="60" w:after="60" w:line="240" w:lineRule="auto"/>
        <w:rPr>
          <w:rFonts w:asciiTheme="minorHAnsi" w:hAnsiTheme="minorHAnsi" w:cs="Arial"/>
          <w:b/>
          <w:bCs/>
          <w:sz w:val="22"/>
          <w:lang w:val="en-US"/>
        </w:rPr>
      </w:pPr>
      <w:r w:rsidRPr="008D0630">
        <w:rPr>
          <w:rFonts w:asciiTheme="minorHAnsi" w:hAnsiTheme="minorHAnsi" w:cs="Arial"/>
          <w:b/>
          <w:bCs/>
          <w:sz w:val="22"/>
          <w:lang w:val="en-US"/>
        </w:rPr>
        <w:t xml:space="preserve">Table 1 – Characteristics of included </w:t>
      </w:r>
      <w:r>
        <w:rPr>
          <w:rFonts w:asciiTheme="minorHAnsi" w:hAnsiTheme="minorHAnsi" w:cs="Arial"/>
          <w:b/>
          <w:bCs/>
          <w:sz w:val="22"/>
          <w:lang w:val="en-US"/>
        </w:rPr>
        <w:t>studies/articles</w:t>
      </w:r>
      <w:r w:rsidRPr="008D0630">
        <w:rPr>
          <w:rFonts w:asciiTheme="minorHAnsi" w:hAnsiTheme="minorHAnsi" w:cs="Arial"/>
          <w:b/>
          <w:bCs/>
          <w:sz w:val="22"/>
          <w:lang w:val="en-US"/>
        </w:rPr>
        <w:t xml:space="preserve"> </w:t>
      </w:r>
    </w:p>
    <w:p w14:paraId="105A2E55" w14:textId="77777777" w:rsidR="00876A3B" w:rsidRPr="00AB2274" w:rsidRDefault="00876A3B" w:rsidP="00876A3B">
      <w:pPr>
        <w:spacing w:before="60" w:after="60" w:line="240" w:lineRule="auto"/>
        <w:rPr>
          <w:rFonts w:asciiTheme="minorHAnsi" w:hAnsiTheme="minorHAnsi" w:cs="Arial"/>
          <w:sz w:val="22"/>
          <w:lang w:val="en-US"/>
        </w:rPr>
      </w:pPr>
      <w:r w:rsidRPr="00AB2274">
        <w:rPr>
          <w:rFonts w:asciiTheme="minorHAnsi" w:hAnsiTheme="minorHAnsi" w:cs="Arial"/>
          <w:sz w:val="22"/>
          <w:lang w:val="en-US"/>
        </w:rPr>
        <w:t xml:space="preserve">NB: Staff are </w:t>
      </w:r>
      <w:r>
        <w:rPr>
          <w:rFonts w:asciiTheme="minorHAnsi" w:hAnsiTheme="minorHAnsi" w:cs="Arial"/>
          <w:sz w:val="22"/>
          <w:lang w:val="en-US"/>
        </w:rPr>
        <w:t>qualified professionals</w:t>
      </w:r>
      <w:r w:rsidRPr="00AB2274">
        <w:rPr>
          <w:rFonts w:asciiTheme="minorHAnsi" w:hAnsiTheme="minorHAnsi" w:cs="Arial"/>
          <w:sz w:val="22"/>
          <w:lang w:val="en-US"/>
        </w:rPr>
        <w:t xml:space="preserve"> that have experience working with target population.</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83"/>
        <w:gridCol w:w="1655"/>
        <w:gridCol w:w="1644"/>
        <w:gridCol w:w="1626"/>
        <w:gridCol w:w="1735"/>
        <w:gridCol w:w="1594"/>
        <w:gridCol w:w="1470"/>
        <w:gridCol w:w="1623"/>
      </w:tblGrid>
      <w:tr w:rsidR="00876A3B" w:rsidRPr="008D0630" w14:paraId="4E2C0F9B" w14:textId="77777777" w:rsidTr="00970733">
        <w:trPr>
          <w:tblHeader/>
        </w:trPr>
        <w:tc>
          <w:tcPr>
            <w:tcW w:w="1583" w:type="dxa"/>
          </w:tcPr>
          <w:p w14:paraId="6EB032A4" w14:textId="77777777" w:rsidR="00876A3B" w:rsidRPr="008D0630" w:rsidRDefault="00876A3B" w:rsidP="0042751C">
            <w:pPr>
              <w:spacing w:before="60" w:after="60" w:line="240" w:lineRule="auto"/>
              <w:rPr>
                <w:rFonts w:asciiTheme="minorHAnsi" w:hAnsiTheme="minorHAnsi" w:cs="Arial"/>
                <w:b/>
                <w:bCs/>
                <w:sz w:val="22"/>
                <w:lang w:val="en-US"/>
              </w:rPr>
            </w:pPr>
            <w:r w:rsidRPr="008D0630">
              <w:rPr>
                <w:rFonts w:asciiTheme="minorHAnsi" w:hAnsiTheme="minorHAnsi" w:cs="Arial"/>
                <w:b/>
                <w:bCs/>
                <w:sz w:val="22"/>
                <w:lang w:val="en-US"/>
              </w:rPr>
              <w:t xml:space="preserve">Authors and year </w:t>
            </w:r>
          </w:p>
        </w:tc>
        <w:tc>
          <w:tcPr>
            <w:tcW w:w="1655" w:type="dxa"/>
          </w:tcPr>
          <w:p w14:paraId="7893AD85" w14:textId="40E270C0" w:rsidR="00876A3B" w:rsidRPr="008D0630" w:rsidRDefault="00876A3B" w:rsidP="0042751C">
            <w:pPr>
              <w:spacing w:before="60" w:after="60" w:line="240" w:lineRule="auto"/>
              <w:rPr>
                <w:rFonts w:asciiTheme="minorHAnsi" w:hAnsiTheme="minorHAnsi" w:cs="Arial"/>
                <w:b/>
                <w:bCs/>
                <w:sz w:val="22"/>
                <w:lang w:val="en-US"/>
              </w:rPr>
            </w:pPr>
            <w:r w:rsidRPr="008D0630">
              <w:rPr>
                <w:rFonts w:asciiTheme="minorHAnsi" w:hAnsiTheme="minorHAnsi" w:cs="Arial"/>
                <w:b/>
                <w:bCs/>
                <w:sz w:val="22"/>
                <w:lang w:val="en-US"/>
              </w:rPr>
              <w:t>Authors</w:t>
            </w:r>
            <w:r>
              <w:rPr>
                <w:rFonts w:asciiTheme="minorHAnsi" w:hAnsiTheme="minorHAnsi" w:cs="Arial"/>
                <w:b/>
                <w:bCs/>
                <w:sz w:val="22"/>
                <w:lang w:val="en-US"/>
              </w:rPr>
              <w:t>/</w:t>
            </w:r>
            <w:r w:rsidR="00970733">
              <w:rPr>
                <w:rFonts w:asciiTheme="minorHAnsi" w:hAnsiTheme="minorHAnsi" w:cs="Arial"/>
                <w:b/>
                <w:bCs/>
                <w:sz w:val="22"/>
                <w:lang w:val="en-US"/>
              </w:rPr>
              <w:t xml:space="preserve"> </w:t>
            </w:r>
            <w:r w:rsidR="003A55CA">
              <w:rPr>
                <w:rFonts w:asciiTheme="minorHAnsi" w:hAnsiTheme="minorHAnsi" w:cs="Arial"/>
                <w:b/>
                <w:bCs/>
                <w:sz w:val="22"/>
                <w:lang w:val="en-US"/>
              </w:rPr>
              <w:t>investigators</w:t>
            </w:r>
            <w:r w:rsidR="00970733" w:rsidRPr="008D0630">
              <w:rPr>
                <w:rFonts w:asciiTheme="minorHAnsi" w:hAnsiTheme="minorHAnsi" w:cs="Arial"/>
                <w:b/>
                <w:bCs/>
                <w:sz w:val="22"/>
                <w:lang w:val="en-US"/>
              </w:rPr>
              <w:t xml:space="preserve"> with lived experience</w:t>
            </w:r>
          </w:p>
        </w:tc>
        <w:tc>
          <w:tcPr>
            <w:tcW w:w="1644" w:type="dxa"/>
          </w:tcPr>
          <w:p w14:paraId="5474AF8A" w14:textId="480962FE" w:rsidR="00876A3B" w:rsidRPr="008D0630" w:rsidRDefault="00061A04" w:rsidP="0042751C">
            <w:pPr>
              <w:spacing w:before="60" w:after="60" w:line="240" w:lineRule="auto"/>
              <w:rPr>
                <w:rFonts w:asciiTheme="minorHAnsi" w:hAnsiTheme="minorHAnsi" w:cs="Arial"/>
                <w:b/>
                <w:bCs/>
                <w:sz w:val="22"/>
                <w:lang w:val="en-US"/>
              </w:rPr>
            </w:pPr>
            <w:r>
              <w:rPr>
                <w:rFonts w:asciiTheme="minorHAnsi" w:hAnsiTheme="minorHAnsi" w:cs="Arial"/>
                <w:b/>
                <w:bCs/>
                <w:sz w:val="22"/>
                <w:lang w:val="en-US"/>
              </w:rPr>
              <w:t>Focus</w:t>
            </w:r>
          </w:p>
        </w:tc>
        <w:tc>
          <w:tcPr>
            <w:tcW w:w="1626" w:type="dxa"/>
          </w:tcPr>
          <w:p w14:paraId="1B7F3473" w14:textId="77777777" w:rsidR="00876A3B" w:rsidRPr="008D0630" w:rsidRDefault="00876A3B" w:rsidP="0042751C">
            <w:pPr>
              <w:spacing w:before="60" w:after="60" w:line="240" w:lineRule="auto"/>
              <w:rPr>
                <w:rFonts w:asciiTheme="minorHAnsi" w:hAnsiTheme="minorHAnsi" w:cs="Arial"/>
                <w:b/>
                <w:bCs/>
                <w:sz w:val="22"/>
                <w:lang w:val="en-US"/>
              </w:rPr>
            </w:pPr>
            <w:r w:rsidRPr="008D0630">
              <w:rPr>
                <w:rFonts w:asciiTheme="minorHAnsi" w:hAnsiTheme="minorHAnsi" w:cs="Arial"/>
                <w:b/>
                <w:bCs/>
                <w:sz w:val="22"/>
                <w:lang w:val="en-US"/>
              </w:rPr>
              <w:t>No. participants (total N)</w:t>
            </w:r>
          </w:p>
        </w:tc>
        <w:tc>
          <w:tcPr>
            <w:tcW w:w="1735" w:type="dxa"/>
          </w:tcPr>
          <w:p w14:paraId="7A0BE828" w14:textId="77777777" w:rsidR="00876A3B" w:rsidRPr="008D0630" w:rsidRDefault="00876A3B" w:rsidP="0042751C">
            <w:pPr>
              <w:spacing w:before="60" w:after="60" w:line="240" w:lineRule="auto"/>
              <w:rPr>
                <w:rFonts w:asciiTheme="minorHAnsi" w:hAnsiTheme="minorHAnsi" w:cs="Arial"/>
                <w:b/>
                <w:bCs/>
                <w:sz w:val="22"/>
                <w:lang w:val="en-US"/>
              </w:rPr>
            </w:pPr>
            <w:r w:rsidRPr="008D0630">
              <w:rPr>
                <w:rFonts w:asciiTheme="minorHAnsi" w:hAnsiTheme="minorHAnsi" w:cs="Arial"/>
                <w:b/>
                <w:bCs/>
                <w:sz w:val="22"/>
                <w:lang w:val="en-US"/>
              </w:rPr>
              <w:t>Study Aim</w:t>
            </w:r>
            <w:r>
              <w:rPr>
                <w:rFonts w:asciiTheme="minorHAnsi" w:hAnsiTheme="minorHAnsi" w:cs="Arial"/>
                <w:b/>
                <w:bCs/>
                <w:sz w:val="22"/>
                <w:lang w:val="en-US"/>
              </w:rPr>
              <w:t>/s</w:t>
            </w:r>
          </w:p>
        </w:tc>
        <w:tc>
          <w:tcPr>
            <w:tcW w:w="1594" w:type="dxa"/>
          </w:tcPr>
          <w:p w14:paraId="35D63234" w14:textId="77777777" w:rsidR="00876A3B" w:rsidRPr="008D0630" w:rsidRDefault="00876A3B" w:rsidP="0042751C">
            <w:pPr>
              <w:spacing w:before="60" w:after="60" w:line="240" w:lineRule="auto"/>
              <w:rPr>
                <w:rFonts w:asciiTheme="minorHAnsi" w:hAnsiTheme="minorHAnsi" w:cs="Arial"/>
                <w:b/>
                <w:bCs/>
                <w:sz w:val="22"/>
                <w:lang w:val="en-US"/>
              </w:rPr>
            </w:pPr>
            <w:r w:rsidRPr="008D0630">
              <w:rPr>
                <w:rFonts w:asciiTheme="minorHAnsi" w:hAnsiTheme="minorHAnsi" w:cs="Arial"/>
                <w:b/>
                <w:bCs/>
                <w:sz w:val="22"/>
                <w:lang w:val="en-US"/>
              </w:rPr>
              <w:t>Ethnicity</w:t>
            </w:r>
          </w:p>
        </w:tc>
        <w:tc>
          <w:tcPr>
            <w:tcW w:w="1470" w:type="dxa"/>
          </w:tcPr>
          <w:p w14:paraId="7550CF7A" w14:textId="77777777" w:rsidR="00876A3B" w:rsidRPr="008D0630" w:rsidRDefault="00876A3B" w:rsidP="0042751C">
            <w:pPr>
              <w:spacing w:before="60" w:after="60" w:line="240" w:lineRule="auto"/>
              <w:rPr>
                <w:rFonts w:asciiTheme="minorHAnsi" w:hAnsiTheme="minorHAnsi" w:cs="Arial"/>
                <w:b/>
                <w:bCs/>
                <w:sz w:val="22"/>
                <w:lang w:val="en-US"/>
              </w:rPr>
            </w:pPr>
            <w:r w:rsidRPr="008D0630">
              <w:rPr>
                <w:rFonts w:asciiTheme="minorHAnsi" w:hAnsiTheme="minorHAnsi" w:cs="Arial"/>
                <w:b/>
                <w:bCs/>
                <w:sz w:val="22"/>
                <w:lang w:val="en-US"/>
              </w:rPr>
              <w:t>Country</w:t>
            </w:r>
          </w:p>
        </w:tc>
        <w:tc>
          <w:tcPr>
            <w:tcW w:w="1623" w:type="dxa"/>
          </w:tcPr>
          <w:p w14:paraId="38346C50" w14:textId="77777777" w:rsidR="00876A3B" w:rsidRPr="008D0630" w:rsidRDefault="00876A3B" w:rsidP="0042751C">
            <w:pPr>
              <w:spacing w:before="60" w:after="60" w:line="240" w:lineRule="auto"/>
              <w:rPr>
                <w:rFonts w:asciiTheme="minorHAnsi" w:hAnsiTheme="minorHAnsi" w:cs="Arial"/>
                <w:b/>
                <w:bCs/>
                <w:sz w:val="22"/>
                <w:lang w:val="en-US"/>
              </w:rPr>
            </w:pPr>
            <w:r w:rsidRPr="008D0630">
              <w:rPr>
                <w:rFonts w:asciiTheme="minorHAnsi" w:hAnsiTheme="minorHAnsi" w:cs="Arial"/>
                <w:b/>
                <w:bCs/>
                <w:sz w:val="22"/>
                <w:lang w:val="en-US"/>
              </w:rPr>
              <w:t>Design</w:t>
            </w:r>
          </w:p>
        </w:tc>
      </w:tr>
      <w:tr w:rsidR="00970733" w:rsidRPr="008D0630" w14:paraId="7B7D900E" w14:textId="77777777" w:rsidTr="00970733">
        <w:tc>
          <w:tcPr>
            <w:tcW w:w="1583" w:type="dxa"/>
          </w:tcPr>
          <w:p w14:paraId="0B5F7F49"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Williams 2002</w:t>
            </w:r>
          </w:p>
          <w:p w14:paraId="69A2BC0E" w14:textId="77777777" w:rsidR="00970733" w:rsidRDefault="00970733" w:rsidP="00970733">
            <w:pPr>
              <w:spacing w:before="60" w:after="60" w:line="240" w:lineRule="auto"/>
              <w:rPr>
                <w:rFonts w:asciiTheme="minorHAnsi" w:hAnsiTheme="minorHAnsi" w:cs="Arial"/>
                <w:sz w:val="22"/>
                <w:lang w:val="en-US"/>
              </w:rPr>
            </w:pPr>
          </w:p>
          <w:p w14:paraId="23154931" w14:textId="77777777" w:rsidR="00970733" w:rsidRPr="00EF53CC" w:rsidRDefault="00970733" w:rsidP="00970733">
            <w:pPr>
              <w:spacing w:before="60" w:after="60" w:line="240" w:lineRule="auto"/>
              <w:rPr>
                <w:rFonts w:asciiTheme="minorHAnsi" w:hAnsiTheme="minorHAnsi" w:cs="Arial"/>
                <w:b/>
                <w:bCs/>
                <w:sz w:val="22"/>
                <w:lang w:val="en-US"/>
              </w:rPr>
            </w:pPr>
            <w:r w:rsidRPr="00EF53CC">
              <w:rPr>
                <w:rFonts w:asciiTheme="minorHAnsi" w:hAnsiTheme="minorHAnsi" w:cs="Arial"/>
                <w:b/>
                <w:bCs/>
                <w:sz w:val="22"/>
                <w:lang w:val="en-US"/>
              </w:rPr>
              <w:t>#1</w:t>
            </w:r>
          </w:p>
        </w:tc>
        <w:tc>
          <w:tcPr>
            <w:tcW w:w="1655" w:type="dxa"/>
          </w:tcPr>
          <w:p w14:paraId="02A5AA0E"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Not stated</w:t>
            </w:r>
          </w:p>
        </w:tc>
        <w:tc>
          <w:tcPr>
            <w:tcW w:w="1644" w:type="dxa"/>
          </w:tcPr>
          <w:p w14:paraId="287998FA" w14:textId="4B348BE9"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Vision impairment</w:t>
            </w:r>
          </w:p>
        </w:tc>
        <w:tc>
          <w:tcPr>
            <w:tcW w:w="1626" w:type="dxa"/>
          </w:tcPr>
          <w:p w14:paraId="5BEE8A02"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16</w:t>
            </w:r>
          </w:p>
        </w:tc>
        <w:tc>
          <w:tcPr>
            <w:tcW w:w="1735" w:type="dxa"/>
          </w:tcPr>
          <w:p w14:paraId="693161BD" w14:textId="77777777" w:rsidR="00970733" w:rsidRPr="008D0630" w:rsidRDefault="00970733" w:rsidP="00970733">
            <w:pPr>
              <w:spacing w:before="60" w:after="60" w:line="240" w:lineRule="auto"/>
              <w:rPr>
                <w:rFonts w:asciiTheme="minorHAnsi" w:hAnsiTheme="minorHAnsi" w:cs="Arial"/>
                <w:sz w:val="22"/>
                <w:lang w:val="en-US"/>
              </w:rPr>
            </w:pPr>
            <w:r w:rsidRPr="000A7727">
              <w:rPr>
                <w:rFonts w:asciiTheme="minorHAnsi" w:hAnsiTheme="minorHAnsi" w:cs="Arial"/>
                <w:sz w:val="22"/>
                <w:lang w:val="en-US"/>
              </w:rPr>
              <w:t>To identify t</w:t>
            </w:r>
            <w:r>
              <w:rPr>
                <w:rFonts w:asciiTheme="minorHAnsi" w:hAnsiTheme="minorHAnsi" w:cs="Arial"/>
                <w:sz w:val="22"/>
                <w:lang w:val="en-US"/>
              </w:rPr>
              <w:t>he</w:t>
            </w:r>
            <w:r w:rsidRPr="000A7727">
              <w:rPr>
                <w:rFonts w:asciiTheme="minorHAnsi" w:hAnsiTheme="minorHAnsi" w:cs="Arial"/>
                <w:sz w:val="22"/>
                <w:lang w:val="en-US"/>
              </w:rPr>
              <w:t xml:space="preserve"> accessibility issues experienced</w:t>
            </w:r>
            <w:r>
              <w:rPr>
                <w:rFonts w:asciiTheme="minorHAnsi" w:hAnsiTheme="minorHAnsi" w:cs="Arial"/>
                <w:sz w:val="22"/>
                <w:lang w:val="en-US"/>
              </w:rPr>
              <w:t xml:space="preserve">, and </w:t>
            </w:r>
            <w:r w:rsidRPr="000A7727">
              <w:rPr>
                <w:rFonts w:asciiTheme="minorHAnsi" w:hAnsiTheme="minorHAnsi" w:cs="Arial"/>
                <w:sz w:val="22"/>
                <w:lang w:val="en-US"/>
              </w:rPr>
              <w:t>to consider how they could be addressed to improve information access (for diabetes education materials).</w:t>
            </w:r>
          </w:p>
        </w:tc>
        <w:tc>
          <w:tcPr>
            <w:tcW w:w="1594" w:type="dxa"/>
          </w:tcPr>
          <w:p w14:paraId="267F88E5" w14:textId="77777777" w:rsidR="00970733" w:rsidRPr="008D0630" w:rsidRDefault="00970733" w:rsidP="00970733">
            <w:pPr>
              <w:spacing w:before="60" w:after="60" w:line="240" w:lineRule="auto"/>
              <w:rPr>
                <w:rFonts w:asciiTheme="minorHAnsi" w:hAnsiTheme="minorHAnsi" w:cs="Arial"/>
                <w:sz w:val="22"/>
                <w:lang w:val="en-US"/>
              </w:rPr>
            </w:pPr>
            <w:r w:rsidRPr="009739DD">
              <w:rPr>
                <w:rFonts w:asciiTheme="minorHAnsi" w:hAnsiTheme="minorHAnsi" w:cs="Arial"/>
                <w:sz w:val="22"/>
                <w:lang w:val="en-US"/>
              </w:rPr>
              <w:t xml:space="preserve">African American </w:t>
            </w:r>
            <w:r>
              <w:rPr>
                <w:rFonts w:asciiTheme="minorHAnsi" w:hAnsiTheme="minorHAnsi" w:cs="Arial"/>
                <w:sz w:val="22"/>
                <w:lang w:val="en-US"/>
              </w:rPr>
              <w:t>44%</w:t>
            </w:r>
            <w:r w:rsidRPr="009739DD">
              <w:rPr>
                <w:rFonts w:asciiTheme="minorHAnsi" w:hAnsiTheme="minorHAnsi" w:cs="Arial"/>
                <w:sz w:val="22"/>
                <w:lang w:val="en-US"/>
              </w:rPr>
              <w:t xml:space="preserve">, Caucasian </w:t>
            </w:r>
            <w:r>
              <w:rPr>
                <w:rFonts w:asciiTheme="minorHAnsi" w:hAnsiTheme="minorHAnsi" w:cs="Arial"/>
                <w:sz w:val="22"/>
                <w:lang w:val="en-US"/>
              </w:rPr>
              <w:t>56%</w:t>
            </w:r>
          </w:p>
        </w:tc>
        <w:tc>
          <w:tcPr>
            <w:tcW w:w="1470" w:type="dxa"/>
          </w:tcPr>
          <w:p w14:paraId="05B38EFD"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United States of America</w:t>
            </w:r>
          </w:p>
        </w:tc>
        <w:tc>
          <w:tcPr>
            <w:tcW w:w="1623" w:type="dxa"/>
          </w:tcPr>
          <w:p w14:paraId="54813290"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Qualitative</w:t>
            </w:r>
          </w:p>
        </w:tc>
      </w:tr>
      <w:tr w:rsidR="00970733" w:rsidRPr="008D0630" w14:paraId="2F0CFA91" w14:textId="77777777" w:rsidTr="00970733">
        <w:tc>
          <w:tcPr>
            <w:tcW w:w="1583" w:type="dxa"/>
          </w:tcPr>
          <w:p w14:paraId="1B0C6FCF"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Duckett &amp; Pratt 2010</w:t>
            </w:r>
          </w:p>
          <w:p w14:paraId="472A2274" w14:textId="77777777" w:rsidR="00970733" w:rsidRDefault="00970733" w:rsidP="00970733">
            <w:pPr>
              <w:spacing w:before="60" w:after="60" w:line="240" w:lineRule="auto"/>
              <w:rPr>
                <w:rFonts w:asciiTheme="minorHAnsi" w:hAnsiTheme="minorHAnsi" w:cs="Arial"/>
                <w:sz w:val="22"/>
                <w:lang w:val="en-US"/>
              </w:rPr>
            </w:pPr>
          </w:p>
          <w:p w14:paraId="36789635" w14:textId="77777777" w:rsidR="00970733" w:rsidRPr="00EF53CC" w:rsidRDefault="00970733" w:rsidP="00970733">
            <w:pPr>
              <w:spacing w:before="60" w:after="60" w:line="240" w:lineRule="auto"/>
              <w:rPr>
                <w:rFonts w:asciiTheme="minorHAnsi" w:hAnsiTheme="minorHAnsi" w:cs="Arial"/>
                <w:b/>
                <w:bCs/>
                <w:sz w:val="22"/>
                <w:lang w:val="en-US"/>
              </w:rPr>
            </w:pPr>
            <w:r w:rsidRPr="00EF53CC">
              <w:rPr>
                <w:rFonts w:asciiTheme="minorHAnsi" w:hAnsiTheme="minorHAnsi" w:cs="Arial"/>
                <w:b/>
                <w:bCs/>
                <w:sz w:val="22"/>
                <w:lang w:val="en-US"/>
              </w:rPr>
              <w:t>#2</w:t>
            </w:r>
          </w:p>
        </w:tc>
        <w:tc>
          <w:tcPr>
            <w:tcW w:w="1655" w:type="dxa"/>
          </w:tcPr>
          <w:p w14:paraId="4B272F78"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Not stated</w:t>
            </w:r>
          </w:p>
        </w:tc>
        <w:tc>
          <w:tcPr>
            <w:tcW w:w="1644" w:type="dxa"/>
          </w:tcPr>
          <w:p w14:paraId="3954DB9F" w14:textId="4AED2358"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Vision impairment</w:t>
            </w:r>
          </w:p>
        </w:tc>
        <w:tc>
          <w:tcPr>
            <w:tcW w:w="1626" w:type="dxa"/>
          </w:tcPr>
          <w:p w14:paraId="077A321D"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37</w:t>
            </w:r>
          </w:p>
        </w:tc>
        <w:tc>
          <w:tcPr>
            <w:tcW w:w="1735" w:type="dxa"/>
          </w:tcPr>
          <w:p w14:paraId="75E143B8" w14:textId="77777777" w:rsidR="00970733" w:rsidRPr="008D0630" w:rsidRDefault="00970733" w:rsidP="00970733">
            <w:pPr>
              <w:spacing w:before="60" w:after="60" w:line="240" w:lineRule="auto"/>
              <w:rPr>
                <w:rFonts w:asciiTheme="minorHAnsi" w:hAnsiTheme="minorHAnsi" w:cs="Arial"/>
                <w:sz w:val="22"/>
                <w:lang w:val="en-US"/>
              </w:rPr>
            </w:pPr>
            <w:r w:rsidRPr="007956A7">
              <w:rPr>
                <w:rFonts w:asciiTheme="minorHAnsi" w:hAnsiTheme="minorHAnsi" w:cs="Arial"/>
                <w:sz w:val="22"/>
                <w:lang w:val="en-US"/>
              </w:rPr>
              <w:t xml:space="preserve">Capture the attitudes and opinions of people with </w:t>
            </w:r>
            <w:r>
              <w:rPr>
                <w:rFonts w:asciiTheme="minorHAnsi" w:hAnsiTheme="minorHAnsi" w:cs="Arial"/>
                <w:sz w:val="22"/>
                <w:lang w:val="en-US"/>
              </w:rPr>
              <w:t>vision impairment</w:t>
            </w:r>
            <w:r w:rsidRPr="007956A7">
              <w:rPr>
                <w:rFonts w:asciiTheme="minorHAnsi" w:hAnsiTheme="minorHAnsi" w:cs="Arial"/>
                <w:sz w:val="22"/>
                <w:lang w:val="en-US"/>
              </w:rPr>
              <w:t xml:space="preserve"> on research conduct and agenda.</w:t>
            </w:r>
          </w:p>
        </w:tc>
        <w:tc>
          <w:tcPr>
            <w:tcW w:w="1594" w:type="dxa"/>
          </w:tcPr>
          <w:p w14:paraId="5DEFEB18"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Not stated</w:t>
            </w:r>
          </w:p>
        </w:tc>
        <w:tc>
          <w:tcPr>
            <w:tcW w:w="1470" w:type="dxa"/>
          </w:tcPr>
          <w:p w14:paraId="581ADE4B"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Scotland</w:t>
            </w:r>
          </w:p>
        </w:tc>
        <w:tc>
          <w:tcPr>
            <w:tcW w:w="1623" w:type="dxa"/>
          </w:tcPr>
          <w:p w14:paraId="19CED6A3"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Qualitative</w:t>
            </w:r>
          </w:p>
        </w:tc>
      </w:tr>
      <w:tr w:rsidR="00970733" w:rsidRPr="008D0630" w14:paraId="5043DBB6" w14:textId="77777777" w:rsidTr="00970733">
        <w:tc>
          <w:tcPr>
            <w:tcW w:w="1583" w:type="dxa"/>
          </w:tcPr>
          <w:p w14:paraId="1FF54DDE"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Singleton et al. 2014</w:t>
            </w:r>
          </w:p>
          <w:p w14:paraId="20B8F22D" w14:textId="77777777" w:rsidR="00970733" w:rsidRDefault="00970733" w:rsidP="00970733">
            <w:pPr>
              <w:spacing w:before="60" w:after="60" w:line="240" w:lineRule="auto"/>
              <w:rPr>
                <w:rFonts w:asciiTheme="minorHAnsi" w:hAnsiTheme="minorHAnsi" w:cs="Arial"/>
                <w:sz w:val="22"/>
                <w:lang w:val="en-US"/>
              </w:rPr>
            </w:pPr>
          </w:p>
          <w:p w14:paraId="722F687C" w14:textId="77777777" w:rsidR="00970733" w:rsidRPr="00EF53CC" w:rsidRDefault="00970733" w:rsidP="00970733">
            <w:pPr>
              <w:spacing w:before="60" w:after="60" w:line="240" w:lineRule="auto"/>
              <w:rPr>
                <w:rFonts w:asciiTheme="minorHAnsi" w:hAnsiTheme="minorHAnsi" w:cs="Arial"/>
                <w:b/>
                <w:bCs/>
                <w:sz w:val="22"/>
                <w:lang w:val="en-US"/>
              </w:rPr>
            </w:pPr>
            <w:r w:rsidRPr="00EF53CC">
              <w:rPr>
                <w:rFonts w:asciiTheme="minorHAnsi" w:hAnsiTheme="minorHAnsi" w:cs="Arial"/>
                <w:b/>
                <w:bCs/>
                <w:sz w:val="22"/>
                <w:lang w:val="en-US"/>
              </w:rPr>
              <w:t>#3</w:t>
            </w:r>
          </w:p>
        </w:tc>
        <w:tc>
          <w:tcPr>
            <w:tcW w:w="1655" w:type="dxa"/>
          </w:tcPr>
          <w:p w14:paraId="1FC84978" w14:textId="77777777" w:rsidR="00970733" w:rsidRPr="008D0630" w:rsidRDefault="00970733" w:rsidP="00970733">
            <w:pPr>
              <w:spacing w:before="60" w:after="60" w:line="240" w:lineRule="auto"/>
              <w:rPr>
                <w:rFonts w:asciiTheme="minorHAnsi" w:hAnsiTheme="minorHAnsi" w:cs="Arial"/>
                <w:sz w:val="22"/>
                <w:lang w:val="en-US"/>
              </w:rPr>
            </w:pPr>
            <w:r w:rsidRPr="00D23EBB">
              <w:rPr>
                <w:rFonts w:asciiTheme="minorHAnsi" w:hAnsiTheme="minorHAnsi" w:cs="Arial"/>
                <w:sz w:val="22"/>
                <w:lang w:val="en-US"/>
              </w:rPr>
              <w:t xml:space="preserve">Yes (all three authors: 2 Deaf and 1 </w:t>
            </w:r>
            <w:r>
              <w:rPr>
                <w:rFonts w:asciiTheme="minorHAnsi" w:hAnsiTheme="minorHAnsi" w:cs="Arial"/>
                <w:sz w:val="22"/>
                <w:lang w:val="en-US"/>
              </w:rPr>
              <w:t>sign language</w:t>
            </w:r>
            <w:r w:rsidRPr="00D23EBB">
              <w:rPr>
                <w:rFonts w:asciiTheme="minorHAnsi" w:hAnsiTheme="minorHAnsi" w:cs="Arial"/>
                <w:sz w:val="22"/>
                <w:lang w:val="en-US"/>
              </w:rPr>
              <w:t xml:space="preserve"> fluent as both parents Deaf).</w:t>
            </w:r>
          </w:p>
        </w:tc>
        <w:tc>
          <w:tcPr>
            <w:tcW w:w="1644" w:type="dxa"/>
          </w:tcPr>
          <w:p w14:paraId="61B75423" w14:textId="3400D7C3"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Deaf, sign language users</w:t>
            </w:r>
          </w:p>
        </w:tc>
        <w:tc>
          <w:tcPr>
            <w:tcW w:w="1626" w:type="dxa"/>
          </w:tcPr>
          <w:p w14:paraId="5123B0DC"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5</w:t>
            </w:r>
          </w:p>
          <w:p w14:paraId="6144C235"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(+ 11 staff)</w:t>
            </w:r>
          </w:p>
        </w:tc>
        <w:tc>
          <w:tcPr>
            <w:tcW w:w="1735" w:type="dxa"/>
          </w:tcPr>
          <w:p w14:paraId="25DB66BD" w14:textId="77777777" w:rsidR="00970733" w:rsidRPr="008D0630" w:rsidRDefault="00970733" w:rsidP="00970733">
            <w:pPr>
              <w:spacing w:before="60" w:after="60" w:line="240" w:lineRule="auto"/>
              <w:rPr>
                <w:rFonts w:asciiTheme="minorHAnsi" w:hAnsiTheme="minorHAnsi" w:cs="Arial"/>
                <w:sz w:val="22"/>
                <w:lang w:val="en-US"/>
              </w:rPr>
            </w:pPr>
            <w:r w:rsidRPr="00E671BB">
              <w:rPr>
                <w:rFonts w:asciiTheme="minorHAnsi" w:hAnsiTheme="minorHAnsi" w:cs="Arial"/>
                <w:sz w:val="22"/>
                <w:lang w:val="en-US"/>
              </w:rPr>
              <w:t xml:space="preserve">To engage three stakeholder groups </w:t>
            </w:r>
            <w:r>
              <w:rPr>
                <w:rFonts w:asciiTheme="minorHAnsi" w:hAnsiTheme="minorHAnsi" w:cs="Arial"/>
                <w:sz w:val="22"/>
                <w:lang w:val="en-US"/>
              </w:rPr>
              <w:t>and</w:t>
            </w:r>
            <w:r w:rsidRPr="00E671BB">
              <w:rPr>
                <w:rFonts w:asciiTheme="minorHAnsi" w:hAnsiTheme="minorHAnsi" w:cs="Arial"/>
                <w:sz w:val="22"/>
                <w:lang w:val="en-US"/>
              </w:rPr>
              <w:t xml:space="preserve"> identify research experiences and perspectives involving an informed consent process.</w:t>
            </w:r>
          </w:p>
        </w:tc>
        <w:tc>
          <w:tcPr>
            <w:tcW w:w="1594" w:type="dxa"/>
          </w:tcPr>
          <w:p w14:paraId="6D012152"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Not stated</w:t>
            </w:r>
          </w:p>
        </w:tc>
        <w:tc>
          <w:tcPr>
            <w:tcW w:w="1470" w:type="dxa"/>
          </w:tcPr>
          <w:p w14:paraId="5F683DA0"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United States of America</w:t>
            </w:r>
          </w:p>
        </w:tc>
        <w:tc>
          <w:tcPr>
            <w:tcW w:w="1623" w:type="dxa"/>
          </w:tcPr>
          <w:p w14:paraId="3D110043"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Qualitative</w:t>
            </w:r>
          </w:p>
        </w:tc>
      </w:tr>
      <w:tr w:rsidR="00970733" w:rsidRPr="008D0630" w14:paraId="674D211E" w14:textId="77777777" w:rsidTr="00970733">
        <w:tc>
          <w:tcPr>
            <w:tcW w:w="1583" w:type="dxa"/>
          </w:tcPr>
          <w:p w14:paraId="5650B8FF"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McCaughey et al. 2016</w:t>
            </w:r>
          </w:p>
          <w:p w14:paraId="71D5ED58" w14:textId="77777777" w:rsidR="00970733" w:rsidRDefault="00970733" w:rsidP="00970733">
            <w:pPr>
              <w:spacing w:before="60" w:after="60" w:line="240" w:lineRule="auto"/>
              <w:rPr>
                <w:rFonts w:asciiTheme="minorHAnsi" w:hAnsiTheme="minorHAnsi" w:cs="Arial"/>
                <w:sz w:val="22"/>
                <w:lang w:val="en-US"/>
              </w:rPr>
            </w:pPr>
          </w:p>
          <w:p w14:paraId="36FF3996" w14:textId="77777777" w:rsidR="00970733" w:rsidRPr="00EF53CC" w:rsidRDefault="00970733" w:rsidP="00970733">
            <w:pPr>
              <w:spacing w:before="60" w:after="60" w:line="240" w:lineRule="auto"/>
              <w:rPr>
                <w:rFonts w:asciiTheme="minorHAnsi" w:hAnsiTheme="minorHAnsi" w:cs="Arial"/>
                <w:b/>
                <w:bCs/>
                <w:sz w:val="22"/>
                <w:lang w:val="en-US"/>
              </w:rPr>
            </w:pPr>
            <w:r w:rsidRPr="00EF53CC">
              <w:rPr>
                <w:rFonts w:asciiTheme="minorHAnsi" w:hAnsiTheme="minorHAnsi" w:cs="Arial"/>
                <w:b/>
                <w:bCs/>
                <w:sz w:val="22"/>
                <w:lang w:val="en-US"/>
              </w:rPr>
              <w:t>#4</w:t>
            </w:r>
          </w:p>
        </w:tc>
        <w:tc>
          <w:tcPr>
            <w:tcW w:w="1655" w:type="dxa"/>
          </w:tcPr>
          <w:p w14:paraId="785109A1"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Not stated</w:t>
            </w:r>
          </w:p>
        </w:tc>
        <w:tc>
          <w:tcPr>
            <w:tcW w:w="1644" w:type="dxa"/>
          </w:tcPr>
          <w:p w14:paraId="4248D7B4"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 xml:space="preserve">Vision loss relating to eye disease </w:t>
            </w:r>
          </w:p>
          <w:p w14:paraId="79DD4952" w14:textId="77777777" w:rsidR="00970733" w:rsidRDefault="00970733" w:rsidP="00970733">
            <w:pPr>
              <w:spacing w:before="60" w:after="60" w:line="240" w:lineRule="auto"/>
              <w:rPr>
                <w:rFonts w:asciiTheme="minorHAnsi" w:hAnsiTheme="minorHAnsi" w:cs="Arial"/>
                <w:sz w:val="22"/>
                <w:lang w:val="en-US"/>
              </w:rPr>
            </w:pPr>
          </w:p>
        </w:tc>
        <w:tc>
          <w:tcPr>
            <w:tcW w:w="1626" w:type="dxa"/>
          </w:tcPr>
          <w:p w14:paraId="3952D2D0"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147</w:t>
            </w:r>
          </w:p>
        </w:tc>
        <w:tc>
          <w:tcPr>
            <w:tcW w:w="1735" w:type="dxa"/>
          </w:tcPr>
          <w:p w14:paraId="396E5180" w14:textId="77777777" w:rsidR="00970733" w:rsidRPr="00BF1DA2" w:rsidRDefault="00970733" w:rsidP="00970733">
            <w:pPr>
              <w:spacing w:before="60" w:after="60" w:line="240" w:lineRule="auto"/>
              <w:rPr>
                <w:rFonts w:asciiTheme="minorHAnsi" w:hAnsiTheme="minorHAnsi" w:cs="Arial"/>
                <w:sz w:val="22"/>
                <w:lang w:val="en-US"/>
              </w:rPr>
            </w:pPr>
            <w:r w:rsidRPr="00A24C63">
              <w:rPr>
                <w:rFonts w:asciiTheme="minorHAnsi" w:hAnsiTheme="minorHAnsi" w:cs="Arial"/>
                <w:sz w:val="22"/>
                <w:lang w:val="en-US"/>
              </w:rPr>
              <w:t>To develop and validate a new interactive multimedia method for supplementing information as part of administering an informed consent procedure.</w:t>
            </w:r>
          </w:p>
        </w:tc>
        <w:tc>
          <w:tcPr>
            <w:tcW w:w="1594" w:type="dxa"/>
          </w:tcPr>
          <w:p w14:paraId="58397078"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Not stated</w:t>
            </w:r>
          </w:p>
        </w:tc>
        <w:tc>
          <w:tcPr>
            <w:tcW w:w="1470" w:type="dxa"/>
          </w:tcPr>
          <w:p w14:paraId="2E9C84AF"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Australia</w:t>
            </w:r>
          </w:p>
        </w:tc>
        <w:tc>
          <w:tcPr>
            <w:tcW w:w="1623" w:type="dxa"/>
          </w:tcPr>
          <w:p w14:paraId="459B064A"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Quantitative</w:t>
            </w:r>
          </w:p>
        </w:tc>
      </w:tr>
      <w:tr w:rsidR="00970733" w:rsidRPr="008D0630" w14:paraId="1E671EEC" w14:textId="77777777" w:rsidTr="00970733">
        <w:tc>
          <w:tcPr>
            <w:tcW w:w="1583" w:type="dxa"/>
          </w:tcPr>
          <w:p w14:paraId="14FC6CBE"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Spehar et al. 2016</w:t>
            </w:r>
          </w:p>
          <w:p w14:paraId="32E47DA1" w14:textId="77777777" w:rsidR="00970733" w:rsidRDefault="00970733" w:rsidP="00970733">
            <w:pPr>
              <w:spacing w:before="60" w:after="60" w:line="240" w:lineRule="auto"/>
              <w:rPr>
                <w:rFonts w:asciiTheme="minorHAnsi" w:hAnsiTheme="minorHAnsi" w:cs="Arial"/>
                <w:sz w:val="22"/>
                <w:lang w:val="en-US"/>
              </w:rPr>
            </w:pPr>
          </w:p>
          <w:p w14:paraId="02B463B5" w14:textId="77777777" w:rsidR="00970733" w:rsidRPr="00EF53CC" w:rsidRDefault="00970733" w:rsidP="00970733">
            <w:pPr>
              <w:spacing w:before="60" w:after="60" w:line="240" w:lineRule="auto"/>
              <w:rPr>
                <w:rFonts w:asciiTheme="minorHAnsi" w:hAnsiTheme="minorHAnsi" w:cs="Arial"/>
                <w:b/>
                <w:bCs/>
                <w:sz w:val="22"/>
                <w:lang w:val="en-US"/>
              </w:rPr>
            </w:pPr>
            <w:r w:rsidRPr="00EF53CC">
              <w:rPr>
                <w:rFonts w:asciiTheme="minorHAnsi" w:hAnsiTheme="minorHAnsi" w:cs="Arial"/>
                <w:b/>
                <w:bCs/>
                <w:sz w:val="22"/>
                <w:lang w:val="en-US"/>
              </w:rPr>
              <w:t>#5</w:t>
            </w:r>
          </w:p>
        </w:tc>
        <w:tc>
          <w:tcPr>
            <w:tcW w:w="1655" w:type="dxa"/>
          </w:tcPr>
          <w:p w14:paraId="5D61BE8A"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Not stated</w:t>
            </w:r>
          </w:p>
        </w:tc>
        <w:tc>
          <w:tcPr>
            <w:tcW w:w="1644" w:type="dxa"/>
          </w:tcPr>
          <w:p w14:paraId="09D79F49" w14:textId="0ED95B00"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Hard of Hearing, hearing aid users</w:t>
            </w:r>
          </w:p>
        </w:tc>
        <w:tc>
          <w:tcPr>
            <w:tcW w:w="1626" w:type="dxa"/>
          </w:tcPr>
          <w:p w14:paraId="30067442"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12</w:t>
            </w:r>
          </w:p>
          <w:p w14:paraId="02A6DF6C"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(+ 7 staff)</w:t>
            </w:r>
          </w:p>
        </w:tc>
        <w:tc>
          <w:tcPr>
            <w:tcW w:w="1735" w:type="dxa"/>
          </w:tcPr>
          <w:p w14:paraId="56D5E4BC" w14:textId="77777777" w:rsidR="00970733" w:rsidRPr="007956A7" w:rsidRDefault="00970733" w:rsidP="00970733">
            <w:pPr>
              <w:spacing w:before="60" w:after="60" w:line="240" w:lineRule="auto"/>
              <w:rPr>
                <w:rFonts w:asciiTheme="minorHAnsi" w:hAnsiTheme="minorHAnsi" w:cs="Arial"/>
                <w:sz w:val="22"/>
                <w:lang w:val="en-US"/>
              </w:rPr>
            </w:pPr>
            <w:r w:rsidRPr="00606B7F">
              <w:rPr>
                <w:rFonts w:asciiTheme="minorHAnsi" w:hAnsiTheme="minorHAnsi" w:cs="Arial"/>
                <w:sz w:val="22"/>
                <w:lang w:val="en-US"/>
              </w:rPr>
              <w:t xml:space="preserve">Determine if real-time captioning improves recall of informed consent discussion </w:t>
            </w:r>
            <w:proofErr w:type="gramStart"/>
            <w:r w:rsidRPr="00606B7F">
              <w:rPr>
                <w:rFonts w:asciiTheme="minorHAnsi" w:hAnsiTheme="minorHAnsi" w:cs="Arial"/>
                <w:sz w:val="22"/>
                <w:lang w:val="en-US"/>
              </w:rPr>
              <w:t>points</w:t>
            </w:r>
            <w:r>
              <w:rPr>
                <w:rFonts w:asciiTheme="minorHAnsi" w:hAnsiTheme="minorHAnsi" w:cs="Arial"/>
                <w:sz w:val="22"/>
                <w:lang w:val="en-US"/>
              </w:rPr>
              <w:t>, and</w:t>
            </w:r>
            <w:proofErr w:type="gramEnd"/>
            <w:r>
              <w:rPr>
                <w:rFonts w:asciiTheme="minorHAnsi" w:hAnsiTheme="minorHAnsi" w:cs="Arial"/>
                <w:sz w:val="22"/>
                <w:lang w:val="en-US"/>
              </w:rPr>
              <w:t xml:space="preserve"> d</w:t>
            </w:r>
            <w:r w:rsidRPr="00606B7F">
              <w:rPr>
                <w:rFonts w:asciiTheme="minorHAnsi" w:hAnsiTheme="minorHAnsi" w:cs="Arial"/>
                <w:sz w:val="22"/>
                <w:lang w:val="en-US"/>
              </w:rPr>
              <w:t xml:space="preserve">etermine if physicians found </w:t>
            </w:r>
            <w:r>
              <w:rPr>
                <w:rFonts w:asciiTheme="minorHAnsi" w:hAnsiTheme="minorHAnsi" w:cs="Arial"/>
                <w:sz w:val="22"/>
                <w:lang w:val="en-US"/>
              </w:rPr>
              <w:t xml:space="preserve">the </w:t>
            </w:r>
            <w:r w:rsidRPr="00606B7F">
              <w:rPr>
                <w:rFonts w:asciiTheme="minorHAnsi" w:hAnsiTheme="minorHAnsi" w:cs="Arial"/>
                <w:sz w:val="22"/>
                <w:lang w:val="en-US"/>
              </w:rPr>
              <w:t>system useful to aid communication.</w:t>
            </w:r>
          </w:p>
        </w:tc>
        <w:tc>
          <w:tcPr>
            <w:tcW w:w="1594" w:type="dxa"/>
          </w:tcPr>
          <w:p w14:paraId="66B4EA78"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Not stated</w:t>
            </w:r>
          </w:p>
        </w:tc>
        <w:tc>
          <w:tcPr>
            <w:tcW w:w="1470" w:type="dxa"/>
          </w:tcPr>
          <w:p w14:paraId="4593FD32"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United States of America</w:t>
            </w:r>
          </w:p>
        </w:tc>
        <w:tc>
          <w:tcPr>
            <w:tcW w:w="1623" w:type="dxa"/>
          </w:tcPr>
          <w:p w14:paraId="59654DD1"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Quantitative</w:t>
            </w:r>
          </w:p>
        </w:tc>
      </w:tr>
      <w:tr w:rsidR="00970733" w:rsidRPr="008D0630" w14:paraId="05206EEA" w14:textId="77777777" w:rsidTr="00970733">
        <w:tc>
          <w:tcPr>
            <w:tcW w:w="1583" w:type="dxa"/>
          </w:tcPr>
          <w:p w14:paraId="751A0EF6"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Young et al. 2016</w:t>
            </w:r>
          </w:p>
          <w:p w14:paraId="03BCDB4C" w14:textId="77777777" w:rsidR="00970733" w:rsidRDefault="00970733" w:rsidP="00970733">
            <w:pPr>
              <w:spacing w:before="60" w:after="60" w:line="240" w:lineRule="auto"/>
              <w:rPr>
                <w:rFonts w:asciiTheme="minorHAnsi" w:hAnsiTheme="minorHAnsi" w:cs="Arial"/>
                <w:sz w:val="22"/>
                <w:lang w:val="en-US"/>
              </w:rPr>
            </w:pPr>
          </w:p>
          <w:p w14:paraId="7F35A3AF" w14:textId="77777777" w:rsidR="00970733" w:rsidRPr="00EF53CC" w:rsidRDefault="00970733" w:rsidP="00970733">
            <w:pPr>
              <w:spacing w:before="60" w:after="60" w:line="240" w:lineRule="auto"/>
              <w:rPr>
                <w:rFonts w:asciiTheme="minorHAnsi" w:hAnsiTheme="minorHAnsi" w:cs="Arial"/>
                <w:b/>
                <w:bCs/>
                <w:sz w:val="22"/>
                <w:lang w:val="en-US"/>
              </w:rPr>
            </w:pPr>
            <w:r w:rsidRPr="00EF53CC">
              <w:rPr>
                <w:rFonts w:asciiTheme="minorHAnsi" w:hAnsiTheme="minorHAnsi" w:cs="Arial"/>
                <w:b/>
                <w:bCs/>
                <w:sz w:val="22"/>
                <w:lang w:val="en-US"/>
              </w:rPr>
              <w:t>#6</w:t>
            </w:r>
          </w:p>
        </w:tc>
        <w:tc>
          <w:tcPr>
            <w:tcW w:w="1655" w:type="dxa"/>
          </w:tcPr>
          <w:p w14:paraId="47D56FCD"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T</w:t>
            </w:r>
            <w:r w:rsidRPr="00812EAC">
              <w:rPr>
                <w:rFonts w:asciiTheme="minorHAnsi" w:hAnsiTheme="minorHAnsi" w:cs="Arial"/>
                <w:sz w:val="22"/>
                <w:lang w:val="en-US"/>
              </w:rPr>
              <w:t xml:space="preserve">wo authors are native </w:t>
            </w:r>
            <w:r>
              <w:rPr>
                <w:rFonts w:asciiTheme="minorHAnsi" w:hAnsiTheme="minorHAnsi" w:cs="Arial"/>
                <w:sz w:val="22"/>
                <w:lang w:val="en-US"/>
              </w:rPr>
              <w:t>sign language</w:t>
            </w:r>
            <w:r w:rsidRPr="00812EAC">
              <w:rPr>
                <w:rFonts w:asciiTheme="minorHAnsi" w:hAnsiTheme="minorHAnsi" w:cs="Arial"/>
                <w:sz w:val="22"/>
                <w:lang w:val="en-US"/>
              </w:rPr>
              <w:t xml:space="preserve"> users but </w:t>
            </w:r>
            <w:proofErr w:type="gramStart"/>
            <w:r w:rsidRPr="00812EAC">
              <w:rPr>
                <w:rFonts w:asciiTheme="minorHAnsi" w:hAnsiTheme="minorHAnsi" w:cs="Arial"/>
                <w:sz w:val="22"/>
                <w:lang w:val="en-US"/>
              </w:rPr>
              <w:t>hearing</w:t>
            </w:r>
            <w:proofErr w:type="gramEnd"/>
            <w:r w:rsidRPr="00812EAC">
              <w:rPr>
                <w:rFonts w:asciiTheme="minorHAnsi" w:hAnsiTheme="minorHAnsi" w:cs="Arial"/>
                <w:sz w:val="22"/>
                <w:lang w:val="en-US"/>
              </w:rPr>
              <w:t xml:space="preserve"> researchers. Two other authors use </w:t>
            </w:r>
            <w:r>
              <w:rPr>
                <w:rFonts w:asciiTheme="minorHAnsi" w:hAnsiTheme="minorHAnsi" w:cs="Arial"/>
                <w:sz w:val="22"/>
                <w:lang w:val="en-US"/>
              </w:rPr>
              <w:t xml:space="preserve">sign </w:t>
            </w:r>
            <w:r w:rsidRPr="00812EAC">
              <w:rPr>
                <w:rFonts w:asciiTheme="minorHAnsi" w:hAnsiTheme="minorHAnsi" w:cs="Arial"/>
                <w:sz w:val="22"/>
                <w:lang w:val="en-US"/>
              </w:rPr>
              <w:t>as second language preference.</w:t>
            </w:r>
          </w:p>
        </w:tc>
        <w:tc>
          <w:tcPr>
            <w:tcW w:w="1644" w:type="dxa"/>
          </w:tcPr>
          <w:p w14:paraId="622EF5CB" w14:textId="5234B9E6"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Deaf, Hard of Hearing, sign language users</w:t>
            </w:r>
          </w:p>
        </w:tc>
        <w:tc>
          <w:tcPr>
            <w:tcW w:w="1626" w:type="dxa"/>
          </w:tcPr>
          <w:p w14:paraId="3E986348"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19</w:t>
            </w:r>
          </w:p>
        </w:tc>
        <w:tc>
          <w:tcPr>
            <w:tcW w:w="1735" w:type="dxa"/>
          </w:tcPr>
          <w:p w14:paraId="7725A8A1" w14:textId="77777777" w:rsidR="00970733" w:rsidRPr="008D0630" w:rsidRDefault="00970733" w:rsidP="00970733">
            <w:pPr>
              <w:spacing w:before="60" w:after="60" w:line="240" w:lineRule="auto"/>
              <w:rPr>
                <w:rFonts w:asciiTheme="minorHAnsi" w:hAnsiTheme="minorHAnsi" w:cs="Arial"/>
                <w:sz w:val="22"/>
                <w:lang w:val="en-US"/>
              </w:rPr>
            </w:pPr>
            <w:r w:rsidRPr="00B37FEA">
              <w:rPr>
                <w:rFonts w:asciiTheme="minorHAnsi" w:hAnsiTheme="minorHAnsi" w:cs="Arial"/>
                <w:sz w:val="22"/>
                <w:lang w:val="en-US"/>
              </w:rPr>
              <w:t xml:space="preserve">Explore trial terminology and key concepts in </w:t>
            </w:r>
            <w:r>
              <w:rPr>
                <w:rFonts w:asciiTheme="minorHAnsi" w:hAnsiTheme="minorHAnsi" w:cs="Arial"/>
                <w:sz w:val="22"/>
                <w:lang w:val="en-US"/>
              </w:rPr>
              <w:t>sign language</w:t>
            </w:r>
            <w:r w:rsidRPr="00B37FEA">
              <w:rPr>
                <w:rFonts w:asciiTheme="minorHAnsi" w:hAnsiTheme="minorHAnsi" w:cs="Arial"/>
                <w:sz w:val="22"/>
                <w:lang w:val="en-US"/>
              </w:rPr>
              <w:t>. Enable signs that are accur</w:t>
            </w:r>
            <w:r>
              <w:rPr>
                <w:rFonts w:asciiTheme="minorHAnsi" w:hAnsiTheme="minorHAnsi" w:cs="Arial"/>
                <w:sz w:val="22"/>
                <w:lang w:val="en-US"/>
              </w:rPr>
              <w:t>ate</w:t>
            </w:r>
            <w:r w:rsidRPr="00B37FEA">
              <w:rPr>
                <w:rFonts w:asciiTheme="minorHAnsi" w:hAnsiTheme="minorHAnsi" w:cs="Arial"/>
                <w:sz w:val="22"/>
                <w:lang w:val="en-US"/>
              </w:rPr>
              <w:t xml:space="preserve"> to informed consent. </w:t>
            </w:r>
            <w:r>
              <w:rPr>
                <w:rFonts w:asciiTheme="minorHAnsi" w:hAnsiTheme="minorHAnsi" w:cs="Arial"/>
                <w:sz w:val="22"/>
                <w:lang w:val="en-US"/>
              </w:rPr>
              <w:t>Identify k</w:t>
            </w:r>
            <w:r w:rsidRPr="00B37FEA">
              <w:rPr>
                <w:rFonts w:asciiTheme="minorHAnsi" w:hAnsiTheme="minorHAnsi" w:cs="Arial"/>
                <w:sz w:val="22"/>
                <w:lang w:val="en-US"/>
              </w:rPr>
              <w:t xml:space="preserve">ey points for accessible information for </w:t>
            </w:r>
            <w:r>
              <w:rPr>
                <w:rFonts w:asciiTheme="minorHAnsi" w:hAnsiTheme="minorHAnsi" w:cs="Arial"/>
                <w:sz w:val="22"/>
                <w:lang w:val="en-US"/>
              </w:rPr>
              <w:t>sign language users</w:t>
            </w:r>
            <w:r w:rsidRPr="00B37FEA">
              <w:rPr>
                <w:rFonts w:asciiTheme="minorHAnsi" w:hAnsiTheme="minorHAnsi" w:cs="Arial"/>
                <w:sz w:val="22"/>
                <w:lang w:val="en-US"/>
              </w:rPr>
              <w:t>.</w:t>
            </w:r>
          </w:p>
        </w:tc>
        <w:tc>
          <w:tcPr>
            <w:tcW w:w="1594" w:type="dxa"/>
          </w:tcPr>
          <w:p w14:paraId="7AC322C5" w14:textId="77777777" w:rsidR="00970733" w:rsidRPr="008D0630" w:rsidRDefault="00970733" w:rsidP="00970733">
            <w:pPr>
              <w:spacing w:before="60" w:after="60" w:line="240" w:lineRule="auto"/>
              <w:rPr>
                <w:rFonts w:asciiTheme="minorHAnsi" w:hAnsiTheme="minorHAnsi" w:cs="Arial"/>
                <w:sz w:val="22"/>
                <w:lang w:val="en-US"/>
              </w:rPr>
            </w:pPr>
            <w:r w:rsidRPr="0022719F">
              <w:rPr>
                <w:rFonts w:asciiTheme="minorHAnsi" w:hAnsiTheme="minorHAnsi" w:cs="Arial"/>
                <w:sz w:val="22"/>
                <w:lang w:val="en-US"/>
              </w:rPr>
              <w:t>White British (n=16/19, 82%), Asian Indian (2/19, 10%), Jewish (1/19, 5%).</w:t>
            </w:r>
          </w:p>
        </w:tc>
        <w:tc>
          <w:tcPr>
            <w:tcW w:w="1470" w:type="dxa"/>
          </w:tcPr>
          <w:p w14:paraId="2B19CA31"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England</w:t>
            </w:r>
          </w:p>
        </w:tc>
        <w:tc>
          <w:tcPr>
            <w:tcW w:w="1623" w:type="dxa"/>
          </w:tcPr>
          <w:p w14:paraId="176E7F90"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Qualitative</w:t>
            </w:r>
          </w:p>
        </w:tc>
      </w:tr>
      <w:tr w:rsidR="00970733" w:rsidRPr="008D0630" w14:paraId="107B1483" w14:textId="77777777" w:rsidTr="00970733">
        <w:tc>
          <w:tcPr>
            <w:tcW w:w="1583" w:type="dxa"/>
          </w:tcPr>
          <w:p w14:paraId="484BB1F1"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Roy et al. 2018</w:t>
            </w:r>
          </w:p>
          <w:p w14:paraId="1AF64777" w14:textId="77777777" w:rsidR="00970733" w:rsidRDefault="00970733" w:rsidP="00970733">
            <w:pPr>
              <w:spacing w:before="60" w:after="60" w:line="240" w:lineRule="auto"/>
              <w:rPr>
                <w:rFonts w:asciiTheme="minorHAnsi" w:hAnsiTheme="minorHAnsi" w:cs="Arial"/>
                <w:sz w:val="22"/>
                <w:lang w:val="en-US"/>
              </w:rPr>
            </w:pPr>
          </w:p>
          <w:p w14:paraId="75205CB2" w14:textId="77777777" w:rsidR="00970733" w:rsidRPr="00EF53CC" w:rsidRDefault="00970733" w:rsidP="00970733">
            <w:pPr>
              <w:spacing w:before="60" w:after="60" w:line="240" w:lineRule="auto"/>
              <w:rPr>
                <w:rFonts w:asciiTheme="minorHAnsi" w:hAnsiTheme="minorHAnsi" w:cs="Arial"/>
                <w:b/>
                <w:bCs/>
                <w:sz w:val="22"/>
                <w:lang w:val="en-US"/>
              </w:rPr>
            </w:pPr>
            <w:r w:rsidRPr="00EF53CC">
              <w:rPr>
                <w:rFonts w:asciiTheme="minorHAnsi" w:hAnsiTheme="minorHAnsi" w:cs="Arial"/>
                <w:b/>
                <w:bCs/>
                <w:sz w:val="22"/>
                <w:lang w:val="en-US"/>
              </w:rPr>
              <w:t>#7</w:t>
            </w:r>
          </w:p>
        </w:tc>
        <w:tc>
          <w:tcPr>
            <w:tcW w:w="1655" w:type="dxa"/>
          </w:tcPr>
          <w:p w14:paraId="759108E7" w14:textId="77777777" w:rsidR="00970733" w:rsidRPr="00812EAC"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Not stated</w:t>
            </w:r>
          </w:p>
        </w:tc>
        <w:tc>
          <w:tcPr>
            <w:tcW w:w="1644" w:type="dxa"/>
          </w:tcPr>
          <w:p w14:paraId="580F8A04" w14:textId="3844092E" w:rsidR="00970733" w:rsidRDefault="00970733" w:rsidP="00970733">
            <w:pPr>
              <w:spacing w:before="60" w:after="60" w:line="240" w:lineRule="auto"/>
              <w:rPr>
                <w:rFonts w:asciiTheme="minorHAnsi" w:hAnsiTheme="minorHAnsi" w:cs="Arial"/>
                <w:sz w:val="22"/>
                <w:lang w:val="en-US"/>
              </w:rPr>
            </w:pPr>
            <w:proofErr w:type="spellStart"/>
            <w:r>
              <w:rPr>
                <w:rFonts w:asciiTheme="minorHAnsi" w:hAnsiTheme="minorHAnsi" w:cs="Arial"/>
                <w:sz w:val="22"/>
                <w:lang w:val="en-US"/>
              </w:rPr>
              <w:t>Deafblindness</w:t>
            </w:r>
            <w:proofErr w:type="spellEnd"/>
          </w:p>
        </w:tc>
        <w:tc>
          <w:tcPr>
            <w:tcW w:w="1626" w:type="dxa"/>
          </w:tcPr>
          <w:p w14:paraId="672E9E48"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(8 staff)</w:t>
            </w:r>
          </w:p>
        </w:tc>
        <w:tc>
          <w:tcPr>
            <w:tcW w:w="1735" w:type="dxa"/>
          </w:tcPr>
          <w:p w14:paraId="027B2067" w14:textId="77777777" w:rsidR="00970733" w:rsidRPr="00B37FEA" w:rsidRDefault="00970733" w:rsidP="00970733">
            <w:pPr>
              <w:spacing w:before="60" w:after="60" w:line="240" w:lineRule="auto"/>
              <w:rPr>
                <w:rFonts w:asciiTheme="minorHAnsi" w:hAnsiTheme="minorHAnsi" w:cs="Arial"/>
                <w:sz w:val="22"/>
                <w:lang w:val="en-US"/>
              </w:rPr>
            </w:pPr>
            <w:r w:rsidRPr="00B625CA">
              <w:rPr>
                <w:rFonts w:asciiTheme="minorHAnsi" w:hAnsiTheme="minorHAnsi" w:cs="Arial"/>
                <w:sz w:val="22"/>
                <w:lang w:val="en-US"/>
              </w:rPr>
              <w:t>Investigate what s</w:t>
            </w:r>
            <w:r>
              <w:rPr>
                <w:rFonts w:asciiTheme="minorHAnsi" w:hAnsiTheme="minorHAnsi" w:cs="Arial"/>
                <w:sz w:val="22"/>
                <w:lang w:val="en-US"/>
              </w:rPr>
              <w:t>trategies</w:t>
            </w:r>
            <w:r w:rsidRPr="00B625CA">
              <w:rPr>
                <w:rFonts w:asciiTheme="minorHAnsi" w:hAnsiTheme="minorHAnsi" w:cs="Arial"/>
                <w:sz w:val="22"/>
                <w:lang w:val="en-US"/>
              </w:rPr>
              <w:t xml:space="preserve"> are needed to enable inclusion in research, policy and practice.</w:t>
            </w:r>
          </w:p>
        </w:tc>
        <w:tc>
          <w:tcPr>
            <w:tcW w:w="1594" w:type="dxa"/>
          </w:tcPr>
          <w:p w14:paraId="4896C6A4" w14:textId="77777777" w:rsidR="00970733" w:rsidRPr="0022719F"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Not stated</w:t>
            </w:r>
          </w:p>
        </w:tc>
        <w:tc>
          <w:tcPr>
            <w:tcW w:w="1470" w:type="dxa"/>
          </w:tcPr>
          <w:p w14:paraId="5B4F5666"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Australia</w:t>
            </w:r>
          </w:p>
        </w:tc>
        <w:tc>
          <w:tcPr>
            <w:tcW w:w="1623" w:type="dxa"/>
          </w:tcPr>
          <w:p w14:paraId="0DB26937"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Qualitative</w:t>
            </w:r>
          </w:p>
        </w:tc>
      </w:tr>
      <w:tr w:rsidR="00970733" w:rsidRPr="008D0630" w14:paraId="7BAE6A26" w14:textId="77777777" w:rsidTr="00970733">
        <w:tc>
          <w:tcPr>
            <w:tcW w:w="1583" w:type="dxa"/>
          </w:tcPr>
          <w:p w14:paraId="5CCE9B89"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Tanner et al. 2018</w:t>
            </w:r>
          </w:p>
          <w:p w14:paraId="7D31CE94" w14:textId="77777777" w:rsidR="00970733" w:rsidRDefault="00970733" w:rsidP="00970733">
            <w:pPr>
              <w:spacing w:before="60" w:after="60" w:line="240" w:lineRule="auto"/>
              <w:rPr>
                <w:rFonts w:asciiTheme="minorHAnsi" w:hAnsiTheme="minorHAnsi" w:cs="Arial"/>
                <w:sz w:val="22"/>
                <w:lang w:val="en-US"/>
              </w:rPr>
            </w:pPr>
          </w:p>
          <w:p w14:paraId="7ACEEE9C" w14:textId="77777777" w:rsidR="00970733" w:rsidRDefault="00970733" w:rsidP="00970733">
            <w:pPr>
              <w:spacing w:before="60" w:after="60" w:line="240" w:lineRule="auto"/>
              <w:rPr>
                <w:rFonts w:asciiTheme="minorHAnsi" w:hAnsiTheme="minorHAnsi" w:cs="Arial"/>
                <w:sz w:val="22"/>
                <w:lang w:val="en-US"/>
              </w:rPr>
            </w:pPr>
          </w:p>
          <w:p w14:paraId="6FA4D7C5" w14:textId="77777777" w:rsidR="00970733" w:rsidRPr="00EF53CC" w:rsidRDefault="00970733" w:rsidP="00970733">
            <w:pPr>
              <w:spacing w:before="60" w:after="60" w:line="240" w:lineRule="auto"/>
              <w:rPr>
                <w:rFonts w:asciiTheme="minorHAnsi" w:hAnsiTheme="minorHAnsi" w:cs="Arial"/>
                <w:b/>
                <w:bCs/>
                <w:sz w:val="22"/>
                <w:lang w:val="en-US"/>
              </w:rPr>
            </w:pPr>
            <w:r w:rsidRPr="00EF53CC">
              <w:rPr>
                <w:rFonts w:asciiTheme="minorHAnsi" w:hAnsiTheme="minorHAnsi" w:cs="Arial"/>
                <w:b/>
                <w:bCs/>
                <w:sz w:val="22"/>
                <w:lang w:val="en-US"/>
              </w:rPr>
              <w:t>#8</w:t>
            </w:r>
          </w:p>
        </w:tc>
        <w:tc>
          <w:tcPr>
            <w:tcW w:w="1655" w:type="dxa"/>
          </w:tcPr>
          <w:p w14:paraId="21F69F92"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Not stated</w:t>
            </w:r>
          </w:p>
        </w:tc>
        <w:tc>
          <w:tcPr>
            <w:tcW w:w="1644" w:type="dxa"/>
          </w:tcPr>
          <w:p w14:paraId="0D547963" w14:textId="50F2B2A0"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Severe vision impairment (from age-related eye disease)</w:t>
            </w:r>
          </w:p>
        </w:tc>
        <w:tc>
          <w:tcPr>
            <w:tcW w:w="1626" w:type="dxa"/>
          </w:tcPr>
          <w:p w14:paraId="7CC17A2B"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89 (survey; subset 19 interviewed)</w:t>
            </w:r>
          </w:p>
        </w:tc>
        <w:tc>
          <w:tcPr>
            <w:tcW w:w="1735" w:type="dxa"/>
          </w:tcPr>
          <w:p w14:paraId="2578AE19" w14:textId="77777777" w:rsidR="00970733" w:rsidRPr="00B625CA" w:rsidRDefault="00970733" w:rsidP="00970733">
            <w:pPr>
              <w:spacing w:before="60" w:after="60" w:line="240" w:lineRule="auto"/>
              <w:rPr>
                <w:rFonts w:asciiTheme="minorHAnsi" w:hAnsiTheme="minorHAnsi" w:cs="Arial"/>
                <w:sz w:val="22"/>
                <w:lang w:val="en-US"/>
              </w:rPr>
            </w:pPr>
            <w:r w:rsidRPr="00BF1DA2">
              <w:rPr>
                <w:rFonts w:asciiTheme="minorHAnsi" w:hAnsiTheme="minorHAnsi" w:cs="Arial"/>
                <w:sz w:val="22"/>
                <w:lang w:val="en-US"/>
              </w:rPr>
              <w:t xml:space="preserve">Share learnings from study procedures involving </w:t>
            </w:r>
            <w:r>
              <w:rPr>
                <w:rFonts w:asciiTheme="minorHAnsi" w:hAnsiTheme="minorHAnsi" w:cs="Arial"/>
                <w:sz w:val="22"/>
                <w:lang w:val="en-US"/>
              </w:rPr>
              <w:t>priority</w:t>
            </w:r>
            <w:r w:rsidRPr="00BF1DA2">
              <w:rPr>
                <w:rFonts w:asciiTheme="minorHAnsi" w:hAnsiTheme="minorHAnsi" w:cs="Arial"/>
                <w:sz w:val="22"/>
                <w:lang w:val="en-US"/>
              </w:rPr>
              <w:t xml:space="preserve"> group, and </w:t>
            </w:r>
            <w:r>
              <w:rPr>
                <w:rFonts w:asciiTheme="minorHAnsi" w:hAnsiTheme="minorHAnsi" w:cs="Arial"/>
                <w:sz w:val="22"/>
                <w:lang w:val="en-US"/>
              </w:rPr>
              <w:t>present strategies for recruitment, preparation of study materials, obtaining consent and data collection.</w:t>
            </w:r>
          </w:p>
        </w:tc>
        <w:tc>
          <w:tcPr>
            <w:tcW w:w="1594" w:type="dxa"/>
          </w:tcPr>
          <w:p w14:paraId="21BBACE8"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 xml:space="preserve">Not stated </w:t>
            </w:r>
          </w:p>
        </w:tc>
        <w:tc>
          <w:tcPr>
            <w:tcW w:w="1470" w:type="dxa"/>
          </w:tcPr>
          <w:p w14:paraId="37E5001F"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United States of America</w:t>
            </w:r>
          </w:p>
        </w:tc>
        <w:tc>
          <w:tcPr>
            <w:tcW w:w="1623" w:type="dxa"/>
          </w:tcPr>
          <w:p w14:paraId="674275CF"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Mixed Methods</w:t>
            </w:r>
          </w:p>
        </w:tc>
      </w:tr>
      <w:tr w:rsidR="00970733" w:rsidRPr="008D0630" w14:paraId="59883340" w14:textId="77777777" w:rsidTr="00970733">
        <w:tc>
          <w:tcPr>
            <w:tcW w:w="1583" w:type="dxa"/>
          </w:tcPr>
          <w:p w14:paraId="6D2B3FD8"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Skilton et al. 2018</w:t>
            </w:r>
          </w:p>
          <w:p w14:paraId="2F3D2E0B" w14:textId="77777777" w:rsidR="00970733" w:rsidRDefault="00970733" w:rsidP="00970733">
            <w:pPr>
              <w:spacing w:before="60" w:after="60" w:line="240" w:lineRule="auto"/>
              <w:rPr>
                <w:rFonts w:asciiTheme="minorHAnsi" w:hAnsiTheme="minorHAnsi" w:cs="Arial"/>
                <w:sz w:val="22"/>
                <w:lang w:val="en-US"/>
              </w:rPr>
            </w:pPr>
          </w:p>
          <w:p w14:paraId="591C171D" w14:textId="77777777" w:rsidR="00970733" w:rsidRPr="00EF53CC" w:rsidRDefault="00970733" w:rsidP="00970733">
            <w:pPr>
              <w:spacing w:before="60" w:after="60" w:line="240" w:lineRule="auto"/>
              <w:rPr>
                <w:rFonts w:asciiTheme="minorHAnsi" w:hAnsiTheme="minorHAnsi" w:cs="Arial"/>
                <w:b/>
                <w:bCs/>
                <w:sz w:val="22"/>
                <w:lang w:val="en-US"/>
              </w:rPr>
            </w:pPr>
            <w:r w:rsidRPr="00EF53CC">
              <w:rPr>
                <w:rFonts w:asciiTheme="minorHAnsi" w:hAnsiTheme="minorHAnsi" w:cs="Arial"/>
                <w:b/>
                <w:bCs/>
                <w:sz w:val="22"/>
                <w:lang w:val="en-US"/>
              </w:rPr>
              <w:t>#9</w:t>
            </w:r>
          </w:p>
        </w:tc>
        <w:tc>
          <w:tcPr>
            <w:tcW w:w="1655" w:type="dxa"/>
          </w:tcPr>
          <w:p w14:paraId="25AF9971" w14:textId="77777777" w:rsidR="00970733" w:rsidRPr="008D0630" w:rsidRDefault="00970733" w:rsidP="00970733">
            <w:pPr>
              <w:spacing w:before="60" w:after="60" w:line="240" w:lineRule="auto"/>
              <w:rPr>
                <w:rFonts w:asciiTheme="minorHAnsi" w:hAnsiTheme="minorHAnsi" w:cs="Arial"/>
                <w:sz w:val="22"/>
                <w:lang w:val="en-US"/>
              </w:rPr>
            </w:pPr>
            <w:r w:rsidRPr="002B5EE6">
              <w:rPr>
                <w:rFonts w:asciiTheme="minorHAnsi" w:hAnsiTheme="minorHAnsi" w:cs="Arial"/>
                <w:sz w:val="22"/>
                <w:lang w:val="en-US"/>
              </w:rPr>
              <w:t>Second author consumer advocate; lived experience unconfirmed.</w:t>
            </w:r>
          </w:p>
        </w:tc>
        <w:tc>
          <w:tcPr>
            <w:tcW w:w="1644" w:type="dxa"/>
          </w:tcPr>
          <w:p w14:paraId="5C9E38B9" w14:textId="4BDF3E6F" w:rsidR="00970733" w:rsidRPr="008D0630" w:rsidRDefault="00970733" w:rsidP="00970733">
            <w:pPr>
              <w:spacing w:before="60" w:after="60" w:line="240" w:lineRule="auto"/>
              <w:rPr>
                <w:rFonts w:asciiTheme="minorHAnsi" w:hAnsiTheme="minorHAnsi" w:cs="Arial"/>
                <w:sz w:val="22"/>
                <w:lang w:val="en-US"/>
              </w:rPr>
            </w:pPr>
            <w:proofErr w:type="spellStart"/>
            <w:r>
              <w:rPr>
                <w:rFonts w:asciiTheme="minorHAnsi" w:hAnsiTheme="minorHAnsi" w:cs="Arial"/>
                <w:sz w:val="22"/>
                <w:lang w:val="en-US"/>
              </w:rPr>
              <w:t>Deafblindess</w:t>
            </w:r>
            <w:proofErr w:type="spellEnd"/>
            <w:r>
              <w:rPr>
                <w:rFonts w:asciiTheme="minorHAnsi" w:hAnsiTheme="minorHAnsi" w:cs="Arial"/>
                <w:sz w:val="22"/>
                <w:lang w:val="en-US"/>
              </w:rPr>
              <w:t xml:space="preserve"> (Usher syndrome)</w:t>
            </w:r>
          </w:p>
        </w:tc>
        <w:tc>
          <w:tcPr>
            <w:tcW w:w="1626" w:type="dxa"/>
          </w:tcPr>
          <w:p w14:paraId="3CF305A5"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 xml:space="preserve">5 </w:t>
            </w:r>
          </w:p>
          <w:p w14:paraId="522C6F1F"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(+ 3 staff)</w:t>
            </w:r>
          </w:p>
        </w:tc>
        <w:tc>
          <w:tcPr>
            <w:tcW w:w="1735" w:type="dxa"/>
          </w:tcPr>
          <w:p w14:paraId="0DAFCC7C"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Gather o</w:t>
            </w:r>
            <w:r w:rsidRPr="00BC16BD">
              <w:rPr>
                <w:rFonts w:asciiTheme="minorHAnsi" w:hAnsiTheme="minorHAnsi" w:cs="Arial"/>
                <w:sz w:val="22"/>
                <w:lang w:val="en-US"/>
              </w:rPr>
              <w:t xml:space="preserve">pinions and experiences shared to inform a list of practical considerations </w:t>
            </w:r>
            <w:r>
              <w:rPr>
                <w:rFonts w:asciiTheme="minorHAnsi" w:hAnsiTheme="minorHAnsi" w:cs="Arial"/>
                <w:sz w:val="22"/>
                <w:lang w:val="en-US"/>
              </w:rPr>
              <w:t xml:space="preserve">to </w:t>
            </w:r>
            <w:r w:rsidRPr="00D13C5A">
              <w:rPr>
                <w:rFonts w:asciiTheme="minorHAnsi" w:hAnsiTheme="minorHAnsi" w:cs="Arial"/>
                <w:sz w:val="22"/>
                <w:lang w:val="en-US"/>
              </w:rPr>
              <w:t>improve inclusion in research</w:t>
            </w:r>
            <w:r>
              <w:rPr>
                <w:rFonts w:asciiTheme="minorHAnsi" w:hAnsiTheme="minorHAnsi" w:cs="Arial"/>
                <w:sz w:val="22"/>
                <w:lang w:val="en-US"/>
              </w:rPr>
              <w:t>.</w:t>
            </w:r>
          </w:p>
        </w:tc>
        <w:tc>
          <w:tcPr>
            <w:tcW w:w="1594" w:type="dxa"/>
          </w:tcPr>
          <w:p w14:paraId="2C446AD1"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Not stated</w:t>
            </w:r>
          </w:p>
        </w:tc>
        <w:tc>
          <w:tcPr>
            <w:tcW w:w="1470" w:type="dxa"/>
          </w:tcPr>
          <w:p w14:paraId="57C2AF7D"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England</w:t>
            </w:r>
          </w:p>
        </w:tc>
        <w:tc>
          <w:tcPr>
            <w:tcW w:w="1623" w:type="dxa"/>
          </w:tcPr>
          <w:p w14:paraId="62D326E6"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Qualitative</w:t>
            </w:r>
          </w:p>
        </w:tc>
      </w:tr>
      <w:tr w:rsidR="00970733" w:rsidRPr="008D0630" w14:paraId="04813BEF" w14:textId="77777777" w:rsidTr="00970733">
        <w:tc>
          <w:tcPr>
            <w:tcW w:w="1583" w:type="dxa"/>
          </w:tcPr>
          <w:p w14:paraId="5922F517"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Sabatello et al. 2019</w:t>
            </w:r>
          </w:p>
          <w:p w14:paraId="2D216134" w14:textId="77777777" w:rsidR="00970733" w:rsidRDefault="00970733" w:rsidP="00970733">
            <w:pPr>
              <w:spacing w:before="60" w:after="60" w:line="240" w:lineRule="auto"/>
              <w:rPr>
                <w:rFonts w:asciiTheme="minorHAnsi" w:hAnsiTheme="minorHAnsi" w:cs="Arial"/>
                <w:sz w:val="22"/>
                <w:lang w:val="en-US"/>
              </w:rPr>
            </w:pPr>
          </w:p>
          <w:p w14:paraId="749AC64E" w14:textId="77777777" w:rsidR="00970733" w:rsidRPr="00EF53CC" w:rsidRDefault="00970733" w:rsidP="00970733">
            <w:pPr>
              <w:spacing w:before="60" w:after="60" w:line="240" w:lineRule="auto"/>
              <w:rPr>
                <w:rFonts w:asciiTheme="minorHAnsi" w:hAnsiTheme="minorHAnsi" w:cs="Arial"/>
                <w:b/>
                <w:bCs/>
                <w:sz w:val="22"/>
                <w:lang w:val="en-US"/>
              </w:rPr>
            </w:pPr>
            <w:r w:rsidRPr="00EF53CC">
              <w:rPr>
                <w:rFonts w:asciiTheme="minorHAnsi" w:hAnsiTheme="minorHAnsi" w:cs="Arial"/>
                <w:b/>
                <w:bCs/>
                <w:sz w:val="22"/>
                <w:lang w:val="en-US"/>
              </w:rPr>
              <w:t>#10</w:t>
            </w:r>
          </w:p>
        </w:tc>
        <w:tc>
          <w:tcPr>
            <w:tcW w:w="1655" w:type="dxa"/>
          </w:tcPr>
          <w:p w14:paraId="70B683F0" w14:textId="77777777" w:rsidR="00970733" w:rsidRPr="002B5EE6"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Not stated</w:t>
            </w:r>
          </w:p>
        </w:tc>
        <w:tc>
          <w:tcPr>
            <w:tcW w:w="1644" w:type="dxa"/>
          </w:tcPr>
          <w:p w14:paraId="24F073B8" w14:textId="778BE666"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Low vision or blindness</w:t>
            </w:r>
          </w:p>
        </w:tc>
        <w:tc>
          <w:tcPr>
            <w:tcW w:w="1626" w:type="dxa"/>
          </w:tcPr>
          <w:p w14:paraId="3794121E"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271</w:t>
            </w:r>
          </w:p>
        </w:tc>
        <w:tc>
          <w:tcPr>
            <w:tcW w:w="1735" w:type="dxa"/>
          </w:tcPr>
          <w:p w14:paraId="4687CC2F" w14:textId="77777777" w:rsidR="00970733" w:rsidRDefault="00970733" w:rsidP="00970733">
            <w:pPr>
              <w:spacing w:before="60" w:after="60" w:line="240" w:lineRule="auto"/>
              <w:rPr>
                <w:rFonts w:asciiTheme="minorHAnsi" w:hAnsiTheme="minorHAnsi" w:cs="Arial"/>
                <w:sz w:val="22"/>
                <w:lang w:val="en-US"/>
              </w:rPr>
            </w:pPr>
            <w:r w:rsidRPr="003D3F1E">
              <w:rPr>
                <w:rFonts w:asciiTheme="minorHAnsi" w:hAnsiTheme="minorHAnsi" w:cs="Arial"/>
                <w:sz w:val="22"/>
                <w:lang w:val="en-US"/>
              </w:rPr>
              <w:t>Report on findings from a national survey exploring the views on participation in Personalized Medicine Research</w:t>
            </w:r>
            <w:r>
              <w:rPr>
                <w:rFonts w:asciiTheme="minorHAnsi" w:hAnsiTheme="minorHAnsi" w:cs="Arial"/>
                <w:sz w:val="22"/>
                <w:lang w:val="en-US"/>
              </w:rPr>
              <w:t>, and to</w:t>
            </w:r>
            <w:r w:rsidRPr="003D3F1E">
              <w:rPr>
                <w:rFonts w:asciiTheme="minorHAnsi" w:hAnsiTheme="minorHAnsi" w:cs="Arial"/>
                <w:sz w:val="22"/>
                <w:lang w:val="en-US"/>
              </w:rPr>
              <w:t xml:space="preserve"> identi</w:t>
            </w:r>
            <w:r>
              <w:rPr>
                <w:rFonts w:asciiTheme="minorHAnsi" w:hAnsiTheme="minorHAnsi" w:cs="Arial"/>
                <w:sz w:val="22"/>
                <w:lang w:val="en-US"/>
              </w:rPr>
              <w:t>fy</w:t>
            </w:r>
            <w:r w:rsidRPr="003D3F1E">
              <w:rPr>
                <w:rFonts w:asciiTheme="minorHAnsi" w:hAnsiTheme="minorHAnsi" w:cs="Arial"/>
                <w:sz w:val="22"/>
                <w:lang w:val="en-US"/>
              </w:rPr>
              <w:t xml:space="preserve"> barriers to participation.</w:t>
            </w:r>
          </w:p>
        </w:tc>
        <w:tc>
          <w:tcPr>
            <w:tcW w:w="1594" w:type="dxa"/>
          </w:tcPr>
          <w:p w14:paraId="62B10542" w14:textId="77777777" w:rsidR="00970733" w:rsidRDefault="00970733" w:rsidP="00970733">
            <w:pPr>
              <w:spacing w:before="60" w:after="60" w:line="240" w:lineRule="auto"/>
              <w:rPr>
                <w:rFonts w:asciiTheme="minorHAnsi" w:hAnsiTheme="minorHAnsi" w:cs="Arial"/>
                <w:sz w:val="22"/>
                <w:lang w:val="en-US"/>
              </w:rPr>
            </w:pPr>
            <w:r w:rsidRPr="006F03C8">
              <w:rPr>
                <w:rFonts w:asciiTheme="minorHAnsi" w:hAnsiTheme="minorHAnsi" w:cs="Arial"/>
                <w:sz w:val="22"/>
                <w:lang w:val="en-US"/>
              </w:rPr>
              <w:t>White 80%, Black or African American 12%, Asian 3%, Mixed race 2%, 3% UNK</w:t>
            </w:r>
          </w:p>
        </w:tc>
        <w:tc>
          <w:tcPr>
            <w:tcW w:w="1470" w:type="dxa"/>
          </w:tcPr>
          <w:p w14:paraId="3C239B2E" w14:textId="77777777" w:rsidR="00970733" w:rsidRDefault="00970733" w:rsidP="00970733">
            <w:pPr>
              <w:spacing w:before="60" w:after="60" w:line="240" w:lineRule="auto"/>
              <w:rPr>
                <w:rFonts w:asciiTheme="minorHAnsi" w:hAnsiTheme="minorHAnsi" w:cs="Arial"/>
                <w:sz w:val="22"/>
                <w:lang w:val="en-US"/>
              </w:rPr>
            </w:pPr>
            <w:r w:rsidRPr="008D0630">
              <w:rPr>
                <w:rFonts w:asciiTheme="minorHAnsi" w:hAnsiTheme="minorHAnsi" w:cs="Arial"/>
                <w:sz w:val="22"/>
                <w:lang w:val="en-US"/>
              </w:rPr>
              <w:t>U</w:t>
            </w:r>
            <w:r>
              <w:rPr>
                <w:rFonts w:asciiTheme="minorHAnsi" w:hAnsiTheme="minorHAnsi" w:cs="Arial"/>
                <w:sz w:val="22"/>
                <w:lang w:val="en-US"/>
              </w:rPr>
              <w:t>nited States of America</w:t>
            </w:r>
          </w:p>
        </w:tc>
        <w:tc>
          <w:tcPr>
            <w:tcW w:w="1623" w:type="dxa"/>
          </w:tcPr>
          <w:p w14:paraId="3D050442"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Mixed Methods</w:t>
            </w:r>
          </w:p>
        </w:tc>
      </w:tr>
      <w:tr w:rsidR="00970733" w:rsidRPr="008D0630" w14:paraId="72263AC7" w14:textId="77777777" w:rsidTr="00970733">
        <w:tc>
          <w:tcPr>
            <w:tcW w:w="1583" w:type="dxa"/>
          </w:tcPr>
          <w:p w14:paraId="6CE4FF23"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Anderson et al. 2020</w:t>
            </w:r>
          </w:p>
          <w:p w14:paraId="281CCE36" w14:textId="77777777" w:rsidR="00970733" w:rsidRDefault="00970733" w:rsidP="00970733">
            <w:pPr>
              <w:spacing w:before="60" w:after="60" w:line="240" w:lineRule="auto"/>
              <w:rPr>
                <w:rFonts w:asciiTheme="minorHAnsi" w:hAnsiTheme="minorHAnsi" w:cs="Arial"/>
                <w:sz w:val="22"/>
                <w:lang w:val="en-US"/>
              </w:rPr>
            </w:pPr>
          </w:p>
          <w:p w14:paraId="741FC80E" w14:textId="77777777" w:rsidR="00970733" w:rsidRPr="00EF53CC" w:rsidRDefault="00970733" w:rsidP="00970733">
            <w:pPr>
              <w:spacing w:before="60" w:after="60" w:line="240" w:lineRule="auto"/>
              <w:rPr>
                <w:rFonts w:asciiTheme="minorHAnsi" w:hAnsiTheme="minorHAnsi" w:cs="Arial"/>
                <w:b/>
                <w:bCs/>
                <w:sz w:val="22"/>
                <w:lang w:val="en-US"/>
              </w:rPr>
            </w:pPr>
            <w:r w:rsidRPr="00EF53CC">
              <w:rPr>
                <w:rFonts w:asciiTheme="minorHAnsi" w:hAnsiTheme="minorHAnsi" w:cs="Arial"/>
                <w:b/>
                <w:bCs/>
                <w:sz w:val="22"/>
                <w:lang w:val="en-US"/>
              </w:rPr>
              <w:t>#11</w:t>
            </w:r>
          </w:p>
        </w:tc>
        <w:tc>
          <w:tcPr>
            <w:tcW w:w="1655" w:type="dxa"/>
          </w:tcPr>
          <w:p w14:paraId="024AA425"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Yes (six out of eight authors)</w:t>
            </w:r>
          </w:p>
          <w:p w14:paraId="0487D804" w14:textId="77777777" w:rsidR="00970733" w:rsidRDefault="00970733" w:rsidP="00970733">
            <w:pPr>
              <w:spacing w:before="60" w:after="60" w:line="240" w:lineRule="auto"/>
              <w:rPr>
                <w:rFonts w:asciiTheme="minorHAnsi" w:hAnsiTheme="minorHAnsi" w:cs="Arial"/>
                <w:sz w:val="22"/>
                <w:lang w:val="en-US"/>
              </w:rPr>
            </w:pPr>
          </w:p>
        </w:tc>
        <w:tc>
          <w:tcPr>
            <w:tcW w:w="1644" w:type="dxa"/>
          </w:tcPr>
          <w:p w14:paraId="6A76CA40" w14:textId="1761E787" w:rsidR="00970733" w:rsidRDefault="00970733" w:rsidP="00970733">
            <w:pPr>
              <w:spacing w:before="60" w:after="60" w:line="240" w:lineRule="auto"/>
              <w:rPr>
                <w:rFonts w:asciiTheme="minorHAnsi" w:hAnsiTheme="minorHAnsi" w:cs="Arial"/>
                <w:sz w:val="22"/>
                <w:lang w:val="en-US"/>
              </w:rPr>
            </w:pPr>
            <w:r w:rsidRPr="008D0630">
              <w:rPr>
                <w:rFonts w:asciiTheme="minorHAnsi" w:hAnsiTheme="minorHAnsi" w:cs="Arial"/>
                <w:sz w:val="22"/>
                <w:lang w:val="en-US"/>
              </w:rPr>
              <w:t>Deaf, H</w:t>
            </w:r>
            <w:r>
              <w:rPr>
                <w:rFonts w:asciiTheme="minorHAnsi" w:hAnsiTheme="minorHAnsi" w:cs="Arial"/>
                <w:sz w:val="22"/>
                <w:lang w:val="en-US"/>
              </w:rPr>
              <w:t>ard of Hearing</w:t>
            </w:r>
          </w:p>
        </w:tc>
        <w:tc>
          <w:tcPr>
            <w:tcW w:w="1626" w:type="dxa"/>
          </w:tcPr>
          <w:p w14:paraId="6A39DDF1"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22</w:t>
            </w:r>
          </w:p>
          <w:p w14:paraId="49045C43"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(+ 5 staff)</w:t>
            </w:r>
          </w:p>
        </w:tc>
        <w:tc>
          <w:tcPr>
            <w:tcW w:w="1735" w:type="dxa"/>
          </w:tcPr>
          <w:p w14:paraId="47545DE4" w14:textId="77777777" w:rsidR="00970733" w:rsidRPr="008B44C3" w:rsidRDefault="00970733" w:rsidP="00970733">
            <w:pPr>
              <w:spacing w:before="60" w:after="60" w:line="240" w:lineRule="auto"/>
              <w:rPr>
                <w:rFonts w:asciiTheme="minorHAnsi" w:hAnsiTheme="minorHAnsi" w:cs="Arial"/>
                <w:sz w:val="22"/>
                <w:lang w:val="en-US"/>
              </w:rPr>
            </w:pPr>
            <w:r w:rsidRPr="00053E89">
              <w:rPr>
                <w:rFonts w:asciiTheme="minorHAnsi" w:hAnsiTheme="minorHAnsi" w:cs="Arial"/>
                <w:sz w:val="22"/>
                <w:lang w:val="en-US"/>
              </w:rPr>
              <w:t>To improve inclusion and engagement involving the Deaf community to inform researcher training on inclusive consent practices (i.e., on linguistic and cultural awareness, adaptations to process steps).</w:t>
            </w:r>
          </w:p>
        </w:tc>
        <w:tc>
          <w:tcPr>
            <w:tcW w:w="1594" w:type="dxa"/>
          </w:tcPr>
          <w:p w14:paraId="0AA2CEB8" w14:textId="77777777" w:rsidR="00970733" w:rsidRPr="009E1683" w:rsidRDefault="00970733" w:rsidP="00970733">
            <w:pPr>
              <w:spacing w:before="60" w:after="60" w:line="240" w:lineRule="auto"/>
              <w:rPr>
                <w:rFonts w:asciiTheme="minorHAnsi" w:hAnsiTheme="minorHAnsi" w:cs="Arial"/>
                <w:sz w:val="22"/>
                <w:lang w:val="en-US"/>
              </w:rPr>
            </w:pPr>
            <w:r w:rsidRPr="0045323E">
              <w:rPr>
                <w:rFonts w:asciiTheme="minorHAnsi" w:hAnsiTheme="minorHAnsi" w:cs="Arial"/>
                <w:sz w:val="22"/>
                <w:lang w:val="en-US"/>
              </w:rPr>
              <w:t>White Latino 86%, Asian 5%, 9% Preferred not to state.</w:t>
            </w:r>
          </w:p>
        </w:tc>
        <w:tc>
          <w:tcPr>
            <w:tcW w:w="1470" w:type="dxa"/>
          </w:tcPr>
          <w:p w14:paraId="22E128FC" w14:textId="77777777" w:rsidR="00970733" w:rsidRDefault="00970733" w:rsidP="00970733">
            <w:pPr>
              <w:spacing w:before="60" w:after="60" w:line="240" w:lineRule="auto"/>
              <w:rPr>
                <w:rFonts w:asciiTheme="minorHAnsi" w:hAnsiTheme="minorHAnsi" w:cs="Arial"/>
                <w:sz w:val="22"/>
                <w:lang w:val="en-US"/>
              </w:rPr>
            </w:pPr>
            <w:r w:rsidRPr="008D0630">
              <w:rPr>
                <w:rFonts w:asciiTheme="minorHAnsi" w:hAnsiTheme="minorHAnsi" w:cs="Arial"/>
                <w:sz w:val="22"/>
                <w:lang w:val="en-US"/>
              </w:rPr>
              <w:t>U</w:t>
            </w:r>
            <w:r>
              <w:rPr>
                <w:rFonts w:asciiTheme="minorHAnsi" w:hAnsiTheme="minorHAnsi" w:cs="Arial"/>
                <w:sz w:val="22"/>
                <w:lang w:val="en-US"/>
              </w:rPr>
              <w:t>nited States of America</w:t>
            </w:r>
          </w:p>
        </w:tc>
        <w:tc>
          <w:tcPr>
            <w:tcW w:w="1623" w:type="dxa"/>
          </w:tcPr>
          <w:p w14:paraId="32EE119B"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Qualitative</w:t>
            </w:r>
          </w:p>
        </w:tc>
      </w:tr>
      <w:tr w:rsidR="00970733" w:rsidRPr="008D0630" w14:paraId="292417BF" w14:textId="77777777" w:rsidTr="00970733">
        <w:tc>
          <w:tcPr>
            <w:tcW w:w="1583" w:type="dxa"/>
          </w:tcPr>
          <w:p w14:paraId="3FA9CB78"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Jaiswal et al. 2020</w:t>
            </w:r>
          </w:p>
          <w:p w14:paraId="6FEF9913" w14:textId="77777777" w:rsidR="00970733" w:rsidRDefault="00970733" w:rsidP="00970733">
            <w:pPr>
              <w:spacing w:before="60" w:after="60" w:line="240" w:lineRule="auto"/>
              <w:rPr>
                <w:rFonts w:asciiTheme="minorHAnsi" w:hAnsiTheme="minorHAnsi" w:cs="Arial"/>
                <w:sz w:val="22"/>
                <w:lang w:val="en-US"/>
              </w:rPr>
            </w:pPr>
          </w:p>
          <w:p w14:paraId="55D06FFA" w14:textId="77777777" w:rsidR="00970733" w:rsidRPr="00EF53CC" w:rsidRDefault="00970733" w:rsidP="00970733">
            <w:pPr>
              <w:spacing w:before="60" w:after="60" w:line="240" w:lineRule="auto"/>
              <w:rPr>
                <w:rFonts w:asciiTheme="minorHAnsi" w:hAnsiTheme="minorHAnsi" w:cs="Arial"/>
                <w:b/>
                <w:bCs/>
                <w:sz w:val="22"/>
                <w:lang w:val="en-US"/>
              </w:rPr>
            </w:pPr>
            <w:r w:rsidRPr="00EF53CC">
              <w:rPr>
                <w:rFonts w:asciiTheme="minorHAnsi" w:hAnsiTheme="minorHAnsi" w:cs="Arial"/>
                <w:b/>
                <w:bCs/>
                <w:sz w:val="22"/>
                <w:lang w:val="en-US"/>
              </w:rPr>
              <w:t>#12</w:t>
            </w:r>
          </w:p>
        </w:tc>
        <w:tc>
          <w:tcPr>
            <w:tcW w:w="1655" w:type="dxa"/>
          </w:tcPr>
          <w:p w14:paraId="3864B040" w14:textId="77777777" w:rsidR="00970733" w:rsidRPr="002B5EE6"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Not stated</w:t>
            </w:r>
          </w:p>
        </w:tc>
        <w:tc>
          <w:tcPr>
            <w:tcW w:w="1644" w:type="dxa"/>
          </w:tcPr>
          <w:p w14:paraId="09CA4658" w14:textId="64F669F2" w:rsidR="00970733" w:rsidRDefault="00970733" w:rsidP="00970733">
            <w:pPr>
              <w:spacing w:before="60" w:after="60" w:line="240" w:lineRule="auto"/>
              <w:rPr>
                <w:rFonts w:asciiTheme="minorHAnsi" w:hAnsiTheme="minorHAnsi" w:cs="Arial"/>
                <w:sz w:val="22"/>
                <w:lang w:val="en-US"/>
              </w:rPr>
            </w:pPr>
            <w:proofErr w:type="spellStart"/>
            <w:r>
              <w:rPr>
                <w:rFonts w:asciiTheme="minorHAnsi" w:hAnsiTheme="minorHAnsi" w:cs="Arial"/>
                <w:sz w:val="22"/>
                <w:lang w:val="en-US"/>
              </w:rPr>
              <w:t>Deafblindness</w:t>
            </w:r>
            <w:proofErr w:type="spellEnd"/>
          </w:p>
        </w:tc>
        <w:tc>
          <w:tcPr>
            <w:tcW w:w="1626" w:type="dxa"/>
          </w:tcPr>
          <w:p w14:paraId="2FF94F33"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16</w:t>
            </w:r>
          </w:p>
          <w:p w14:paraId="0A6017F8" w14:textId="77777777" w:rsidR="00970733" w:rsidRDefault="00970733" w:rsidP="00970733">
            <w:pPr>
              <w:spacing w:before="60" w:after="60" w:line="240" w:lineRule="auto"/>
              <w:rPr>
                <w:rFonts w:asciiTheme="minorHAnsi" w:hAnsiTheme="minorHAnsi" w:cs="Arial"/>
                <w:sz w:val="22"/>
                <w:lang w:val="en-US"/>
              </w:rPr>
            </w:pPr>
          </w:p>
        </w:tc>
        <w:tc>
          <w:tcPr>
            <w:tcW w:w="1735" w:type="dxa"/>
          </w:tcPr>
          <w:p w14:paraId="238440AA" w14:textId="77777777" w:rsidR="00970733" w:rsidRDefault="00970733" w:rsidP="00970733">
            <w:pPr>
              <w:spacing w:before="60" w:after="60" w:line="240" w:lineRule="auto"/>
              <w:rPr>
                <w:rFonts w:asciiTheme="minorHAnsi" w:hAnsiTheme="minorHAnsi" w:cs="Arial"/>
                <w:sz w:val="22"/>
                <w:lang w:val="en-US"/>
              </w:rPr>
            </w:pPr>
            <w:r w:rsidRPr="008B44C3">
              <w:rPr>
                <w:rFonts w:asciiTheme="minorHAnsi" w:hAnsiTheme="minorHAnsi" w:cs="Arial"/>
                <w:sz w:val="22"/>
                <w:lang w:val="en-US"/>
              </w:rPr>
              <w:t>To explain the challenges</w:t>
            </w:r>
            <w:r>
              <w:rPr>
                <w:rFonts w:asciiTheme="minorHAnsi" w:hAnsiTheme="minorHAnsi" w:cs="Arial"/>
                <w:sz w:val="22"/>
                <w:lang w:val="en-US"/>
              </w:rPr>
              <w:t>,</w:t>
            </w:r>
            <w:r w:rsidRPr="008B44C3">
              <w:rPr>
                <w:rFonts w:asciiTheme="minorHAnsi" w:hAnsiTheme="minorHAnsi" w:cs="Arial"/>
                <w:sz w:val="22"/>
                <w:lang w:val="en-US"/>
              </w:rPr>
              <w:t xml:space="preserve"> and strategies to address these challenges, </w:t>
            </w:r>
            <w:r>
              <w:rPr>
                <w:rFonts w:asciiTheme="minorHAnsi" w:hAnsiTheme="minorHAnsi" w:cs="Arial"/>
                <w:sz w:val="22"/>
                <w:lang w:val="en-US"/>
              </w:rPr>
              <w:t xml:space="preserve">to enhance engagement </w:t>
            </w:r>
            <w:r w:rsidRPr="008B44C3">
              <w:rPr>
                <w:rFonts w:asciiTheme="minorHAnsi" w:hAnsiTheme="minorHAnsi" w:cs="Arial"/>
                <w:sz w:val="22"/>
                <w:lang w:val="en-US"/>
              </w:rPr>
              <w:t>for qualitative research.</w:t>
            </w:r>
          </w:p>
        </w:tc>
        <w:tc>
          <w:tcPr>
            <w:tcW w:w="1594" w:type="dxa"/>
          </w:tcPr>
          <w:p w14:paraId="23B17CBF" w14:textId="77777777" w:rsidR="00970733" w:rsidRDefault="00970733" w:rsidP="00970733">
            <w:pPr>
              <w:spacing w:before="60" w:after="60" w:line="240" w:lineRule="auto"/>
              <w:rPr>
                <w:rFonts w:asciiTheme="minorHAnsi" w:hAnsiTheme="minorHAnsi" w:cs="Arial"/>
                <w:sz w:val="22"/>
                <w:lang w:val="en-US"/>
              </w:rPr>
            </w:pPr>
            <w:r w:rsidRPr="009E1683">
              <w:rPr>
                <w:rFonts w:asciiTheme="minorHAnsi" w:hAnsiTheme="minorHAnsi" w:cs="Arial"/>
                <w:sz w:val="22"/>
                <w:lang w:val="en-US"/>
              </w:rPr>
              <w:t>Ethnicity not stated but 'participants from different regions of India were included</w:t>
            </w:r>
            <w:r>
              <w:rPr>
                <w:rFonts w:asciiTheme="minorHAnsi" w:hAnsiTheme="minorHAnsi" w:cs="Arial"/>
                <w:sz w:val="22"/>
                <w:lang w:val="en-US"/>
              </w:rPr>
              <w:t>’</w:t>
            </w:r>
            <w:r w:rsidRPr="009E1683">
              <w:rPr>
                <w:rFonts w:asciiTheme="minorHAnsi" w:hAnsiTheme="minorHAnsi" w:cs="Arial"/>
                <w:sz w:val="22"/>
                <w:lang w:val="en-US"/>
              </w:rPr>
              <w:t>.</w:t>
            </w:r>
          </w:p>
        </w:tc>
        <w:tc>
          <w:tcPr>
            <w:tcW w:w="1470" w:type="dxa"/>
          </w:tcPr>
          <w:p w14:paraId="6B0B6DB2"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India</w:t>
            </w:r>
          </w:p>
        </w:tc>
        <w:tc>
          <w:tcPr>
            <w:tcW w:w="1623" w:type="dxa"/>
          </w:tcPr>
          <w:p w14:paraId="307C3C5A"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Qualitative</w:t>
            </w:r>
          </w:p>
        </w:tc>
      </w:tr>
      <w:tr w:rsidR="00970733" w:rsidRPr="008D0630" w14:paraId="5220D4C2" w14:textId="77777777" w:rsidTr="00970733">
        <w:tc>
          <w:tcPr>
            <w:tcW w:w="1583" w:type="dxa"/>
          </w:tcPr>
          <w:p w14:paraId="68AFC610"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Unger et al. 2021</w:t>
            </w:r>
          </w:p>
          <w:p w14:paraId="3A4E3F2F" w14:textId="77777777" w:rsidR="00970733" w:rsidRDefault="00970733" w:rsidP="00970733">
            <w:pPr>
              <w:spacing w:before="60" w:after="60" w:line="240" w:lineRule="auto"/>
              <w:rPr>
                <w:rFonts w:asciiTheme="minorHAnsi" w:hAnsiTheme="minorHAnsi" w:cs="Arial"/>
                <w:sz w:val="22"/>
                <w:lang w:val="en-US"/>
              </w:rPr>
            </w:pPr>
          </w:p>
          <w:p w14:paraId="66DAD313" w14:textId="77777777" w:rsidR="00970733" w:rsidRPr="00B531E9" w:rsidRDefault="00970733" w:rsidP="00970733">
            <w:pPr>
              <w:spacing w:before="60" w:after="60" w:line="240" w:lineRule="auto"/>
              <w:rPr>
                <w:rFonts w:asciiTheme="minorHAnsi" w:hAnsiTheme="minorHAnsi" w:cs="Arial"/>
                <w:b/>
                <w:bCs/>
                <w:sz w:val="22"/>
                <w:lang w:val="en-US"/>
              </w:rPr>
            </w:pPr>
            <w:r w:rsidRPr="00B531E9">
              <w:rPr>
                <w:rFonts w:asciiTheme="minorHAnsi" w:hAnsiTheme="minorHAnsi" w:cs="Arial"/>
                <w:b/>
                <w:bCs/>
                <w:sz w:val="22"/>
                <w:lang w:val="en-US"/>
              </w:rPr>
              <w:t># 13</w:t>
            </w:r>
          </w:p>
        </w:tc>
        <w:tc>
          <w:tcPr>
            <w:tcW w:w="1655" w:type="dxa"/>
          </w:tcPr>
          <w:p w14:paraId="73E07A68"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Not stated</w:t>
            </w:r>
          </w:p>
        </w:tc>
        <w:tc>
          <w:tcPr>
            <w:tcW w:w="1644" w:type="dxa"/>
          </w:tcPr>
          <w:p w14:paraId="05C4E750" w14:textId="7B1A5C66"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Deaf, sign language users</w:t>
            </w:r>
          </w:p>
        </w:tc>
        <w:tc>
          <w:tcPr>
            <w:tcW w:w="1626" w:type="dxa"/>
          </w:tcPr>
          <w:p w14:paraId="6DEAA188"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4 (+ 6 researchers)</w:t>
            </w:r>
          </w:p>
        </w:tc>
        <w:tc>
          <w:tcPr>
            <w:tcW w:w="1735" w:type="dxa"/>
          </w:tcPr>
          <w:p w14:paraId="5D43C475" w14:textId="77777777" w:rsidR="00970733" w:rsidRPr="008B44C3" w:rsidRDefault="00970733" w:rsidP="00970733">
            <w:pPr>
              <w:spacing w:before="60" w:after="60" w:line="240" w:lineRule="auto"/>
              <w:rPr>
                <w:rFonts w:asciiTheme="minorHAnsi" w:hAnsiTheme="minorHAnsi" w:cs="Arial"/>
                <w:sz w:val="22"/>
                <w:lang w:val="en-US"/>
              </w:rPr>
            </w:pPr>
            <w:r w:rsidRPr="00B5293D">
              <w:rPr>
                <w:rFonts w:asciiTheme="minorHAnsi" w:hAnsiTheme="minorHAnsi" w:cs="Arial"/>
                <w:sz w:val="22"/>
                <w:lang w:val="en-US"/>
              </w:rPr>
              <w:t xml:space="preserve">To identify barriers and requirements to accessible sign language user research, to inform a set of methods and approaches to ensure accessibility when working </w:t>
            </w:r>
            <w:r>
              <w:rPr>
                <w:rFonts w:asciiTheme="minorHAnsi" w:hAnsiTheme="minorHAnsi" w:cs="Arial"/>
                <w:sz w:val="22"/>
                <w:lang w:val="en-US"/>
              </w:rPr>
              <w:t xml:space="preserve">with </w:t>
            </w:r>
            <w:r w:rsidRPr="00B5293D">
              <w:rPr>
                <w:rFonts w:asciiTheme="minorHAnsi" w:hAnsiTheme="minorHAnsi" w:cs="Arial"/>
                <w:sz w:val="22"/>
                <w:lang w:val="en-US"/>
              </w:rPr>
              <w:t>people who sign.</w:t>
            </w:r>
          </w:p>
        </w:tc>
        <w:tc>
          <w:tcPr>
            <w:tcW w:w="1594" w:type="dxa"/>
          </w:tcPr>
          <w:p w14:paraId="0BD4A5A2" w14:textId="77777777" w:rsidR="00970733" w:rsidRPr="009E168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Not stated</w:t>
            </w:r>
          </w:p>
        </w:tc>
        <w:tc>
          <w:tcPr>
            <w:tcW w:w="1470" w:type="dxa"/>
          </w:tcPr>
          <w:p w14:paraId="77E2E541"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Germany</w:t>
            </w:r>
          </w:p>
        </w:tc>
        <w:tc>
          <w:tcPr>
            <w:tcW w:w="1623" w:type="dxa"/>
          </w:tcPr>
          <w:p w14:paraId="5681F1A9"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 xml:space="preserve">Qualitative </w:t>
            </w:r>
          </w:p>
        </w:tc>
      </w:tr>
      <w:tr w:rsidR="00970733" w:rsidRPr="008D0630" w14:paraId="107F6457" w14:textId="77777777" w:rsidTr="00970733">
        <w:tc>
          <w:tcPr>
            <w:tcW w:w="1583" w:type="dxa"/>
          </w:tcPr>
          <w:p w14:paraId="508EF3B0"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Garofalo et al. 2022</w:t>
            </w:r>
          </w:p>
          <w:p w14:paraId="17277F48" w14:textId="77777777" w:rsidR="00970733" w:rsidRDefault="00970733" w:rsidP="00970733">
            <w:pPr>
              <w:spacing w:before="60" w:after="60" w:line="240" w:lineRule="auto"/>
              <w:rPr>
                <w:rFonts w:asciiTheme="minorHAnsi" w:hAnsiTheme="minorHAnsi" w:cs="Arial"/>
                <w:sz w:val="22"/>
                <w:lang w:val="en-US"/>
              </w:rPr>
            </w:pPr>
          </w:p>
          <w:p w14:paraId="614AA68D" w14:textId="77777777" w:rsidR="00970733" w:rsidRPr="00EF53CC" w:rsidRDefault="00970733" w:rsidP="00970733">
            <w:pPr>
              <w:spacing w:before="60" w:after="60" w:line="240" w:lineRule="auto"/>
              <w:rPr>
                <w:rFonts w:asciiTheme="minorHAnsi" w:hAnsiTheme="minorHAnsi" w:cs="Arial"/>
                <w:b/>
                <w:bCs/>
                <w:sz w:val="22"/>
                <w:lang w:val="en-US"/>
              </w:rPr>
            </w:pPr>
            <w:r w:rsidRPr="00EF53CC">
              <w:rPr>
                <w:rFonts w:asciiTheme="minorHAnsi" w:hAnsiTheme="minorHAnsi" w:cs="Arial"/>
                <w:b/>
                <w:bCs/>
                <w:sz w:val="22"/>
                <w:lang w:val="en-US"/>
              </w:rPr>
              <w:t>#1</w:t>
            </w:r>
            <w:r>
              <w:rPr>
                <w:rFonts w:asciiTheme="minorHAnsi" w:hAnsiTheme="minorHAnsi" w:cs="Arial"/>
                <w:b/>
                <w:bCs/>
                <w:sz w:val="22"/>
                <w:lang w:val="en-US"/>
              </w:rPr>
              <w:t>4</w:t>
            </w:r>
          </w:p>
        </w:tc>
        <w:tc>
          <w:tcPr>
            <w:tcW w:w="1655" w:type="dxa"/>
          </w:tcPr>
          <w:p w14:paraId="07E44E4F" w14:textId="77777777" w:rsidR="00970733" w:rsidRPr="008D0630" w:rsidRDefault="00970733" w:rsidP="00970733">
            <w:pPr>
              <w:spacing w:before="60" w:after="60" w:line="240" w:lineRule="auto"/>
              <w:rPr>
                <w:rFonts w:asciiTheme="minorHAnsi" w:hAnsiTheme="minorHAnsi" w:cs="Arial"/>
                <w:sz w:val="22"/>
                <w:lang w:val="en-US"/>
              </w:rPr>
            </w:pPr>
            <w:r w:rsidRPr="008D0630">
              <w:rPr>
                <w:rFonts w:asciiTheme="minorHAnsi" w:hAnsiTheme="minorHAnsi" w:cs="Arial"/>
                <w:sz w:val="22"/>
                <w:lang w:val="en-US"/>
              </w:rPr>
              <w:t>No</w:t>
            </w:r>
            <w:r>
              <w:rPr>
                <w:rFonts w:asciiTheme="minorHAnsi" w:hAnsiTheme="minorHAnsi" w:cs="Arial"/>
                <w:sz w:val="22"/>
                <w:lang w:val="en-US"/>
              </w:rPr>
              <w:t>t stated</w:t>
            </w:r>
          </w:p>
        </w:tc>
        <w:tc>
          <w:tcPr>
            <w:tcW w:w="1644" w:type="dxa"/>
          </w:tcPr>
          <w:p w14:paraId="5C9CF36E" w14:textId="15413B1F" w:rsidR="00970733" w:rsidRPr="008D0630" w:rsidRDefault="00970733" w:rsidP="00970733">
            <w:pPr>
              <w:spacing w:before="60" w:after="60" w:line="240" w:lineRule="auto"/>
              <w:rPr>
                <w:rFonts w:asciiTheme="minorHAnsi" w:hAnsiTheme="minorHAnsi" w:cs="Arial"/>
                <w:sz w:val="22"/>
                <w:lang w:val="en-US"/>
              </w:rPr>
            </w:pPr>
            <w:r w:rsidRPr="008D0630">
              <w:rPr>
                <w:rFonts w:asciiTheme="minorHAnsi" w:hAnsiTheme="minorHAnsi" w:cs="Arial"/>
                <w:sz w:val="22"/>
                <w:lang w:val="en-US"/>
              </w:rPr>
              <w:t>Deaf, H</w:t>
            </w:r>
            <w:r>
              <w:rPr>
                <w:rFonts w:asciiTheme="minorHAnsi" w:hAnsiTheme="minorHAnsi" w:cs="Arial"/>
                <w:sz w:val="22"/>
                <w:lang w:val="en-US"/>
              </w:rPr>
              <w:t>ard of Hearing</w:t>
            </w:r>
          </w:p>
        </w:tc>
        <w:tc>
          <w:tcPr>
            <w:tcW w:w="1626" w:type="dxa"/>
          </w:tcPr>
          <w:p w14:paraId="0C33AEC9"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267</w:t>
            </w:r>
          </w:p>
        </w:tc>
        <w:tc>
          <w:tcPr>
            <w:tcW w:w="1735" w:type="dxa"/>
          </w:tcPr>
          <w:p w14:paraId="35C5171B" w14:textId="77777777" w:rsidR="00970733" w:rsidRPr="008D0630" w:rsidRDefault="00970733" w:rsidP="00970733">
            <w:pPr>
              <w:spacing w:before="60" w:after="60" w:line="240" w:lineRule="auto"/>
              <w:rPr>
                <w:rFonts w:asciiTheme="minorHAnsi" w:hAnsiTheme="minorHAnsi" w:cs="Arial"/>
                <w:sz w:val="22"/>
                <w:lang w:val="en-US"/>
              </w:rPr>
            </w:pPr>
            <w:r w:rsidRPr="00E413DB">
              <w:rPr>
                <w:rFonts w:asciiTheme="minorHAnsi" w:hAnsiTheme="minorHAnsi" w:cs="Arial"/>
                <w:sz w:val="22"/>
                <w:lang w:val="en-US"/>
              </w:rPr>
              <w:t xml:space="preserve">Report of main barriers to participation in </w:t>
            </w:r>
            <w:r>
              <w:rPr>
                <w:rFonts w:asciiTheme="minorHAnsi" w:hAnsiTheme="minorHAnsi" w:cs="Arial"/>
                <w:sz w:val="22"/>
                <w:lang w:val="en-US"/>
              </w:rPr>
              <w:t>personalized medicine research</w:t>
            </w:r>
            <w:r w:rsidRPr="00E413DB">
              <w:rPr>
                <w:rFonts w:asciiTheme="minorHAnsi" w:hAnsiTheme="minorHAnsi" w:cs="Arial"/>
                <w:sz w:val="22"/>
                <w:lang w:val="en-US"/>
              </w:rPr>
              <w:t xml:space="preserve"> from the perspective of p</w:t>
            </w:r>
            <w:r>
              <w:rPr>
                <w:rFonts w:asciiTheme="minorHAnsi" w:hAnsiTheme="minorHAnsi" w:cs="Arial"/>
                <w:sz w:val="22"/>
                <w:lang w:val="en-US"/>
              </w:rPr>
              <w:t>eople</w:t>
            </w:r>
            <w:r w:rsidRPr="00E413DB">
              <w:rPr>
                <w:rFonts w:asciiTheme="minorHAnsi" w:hAnsiTheme="minorHAnsi" w:cs="Arial"/>
                <w:sz w:val="22"/>
                <w:lang w:val="en-US"/>
              </w:rPr>
              <w:t xml:space="preserve"> with Deafness or </w:t>
            </w:r>
            <w:r>
              <w:rPr>
                <w:rFonts w:asciiTheme="minorHAnsi" w:hAnsiTheme="minorHAnsi" w:cs="Arial"/>
                <w:sz w:val="22"/>
                <w:lang w:val="en-US"/>
              </w:rPr>
              <w:t>hearing loss.</w:t>
            </w:r>
          </w:p>
        </w:tc>
        <w:tc>
          <w:tcPr>
            <w:tcW w:w="1594" w:type="dxa"/>
          </w:tcPr>
          <w:p w14:paraId="65144897" w14:textId="77777777" w:rsidR="00970733" w:rsidRPr="008D0630" w:rsidRDefault="00970733" w:rsidP="00970733">
            <w:pPr>
              <w:spacing w:before="60" w:after="60" w:line="240" w:lineRule="auto"/>
              <w:rPr>
                <w:rFonts w:asciiTheme="minorHAnsi" w:hAnsiTheme="minorHAnsi" w:cs="Arial"/>
                <w:sz w:val="22"/>
                <w:lang w:val="en-US"/>
              </w:rPr>
            </w:pPr>
            <w:r w:rsidRPr="00C027D6">
              <w:rPr>
                <w:rFonts w:asciiTheme="minorHAnsi" w:hAnsiTheme="minorHAnsi" w:cs="Arial"/>
                <w:sz w:val="22"/>
                <w:lang w:val="en-US"/>
              </w:rPr>
              <w:t>White 58.6%, Black 25%, Asian 1.9%, Mixed race 5.2%</w:t>
            </w:r>
          </w:p>
        </w:tc>
        <w:tc>
          <w:tcPr>
            <w:tcW w:w="1470" w:type="dxa"/>
          </w:tcPr>
          <w:p w14:paraId="5631A444" w14:textId="77777777" w:rsidR="00970733" w:rsidRPr="008D0630" w:rsidRDefault="00970733" w:rsidP="00970733">
            <w:pPr>
              <w:spacing w:before="60" w:after="60" w:line="240" w:lineRule="auto"/>
              <w:rPr>
                <w:rFonts w:asciiTheme="minorHAnsi" w:hAnsiTheme="minorHAnsi" w:cs="Arial"/>
                <w:sz w:val="22"/>
                <w:lang w:val="en-US"/>
              </w:rPr>
            </w:pPr>
            <w:r w:rsidRPr="008D0630">
              <w:rPr>
                <w:rFonts w:asciiTheme="minorHAnsi" w:hAnsiTheme="minorHAnsi" w:cs="Arial"/>
                <w:sz w:val="22"/>
                <w:lang w:val="en-US"/>
              </w:rPr>
              <w:t>U</w:t>
            </w:r>
            <w:r>
              <w:rPr>
                <w:rFonts w:asciiTheme="minorHAnsi" w:hAnsiTheme="minorHAnsi" w:cs="Arial"/>
                <w:sz w:val="22"/>
                <w:lang w:val="en-US"/>
              </w:rPr>
              <w:t>nited States of America</w:t>
            </w:r>
          </w:p>
        </w:tc>
        <w:tc>
          <w:tcPr>
            <w:tcW w:w="1623" w:type="dxa"/>
          </w:tcPr>
          <w:p w14:paraId="4977B59F"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Mixed Methods</w:t>
            </w:r>
          </w:p>
        </w:tc>
      </w:tr>
      <w:tr w:rsidR="00970733" w:rsidRPr="008D0630" w14:paraId="747F3888" w14:textId="77777777" w:rsidTr="00970733">
        <w:tc>
          <w:tcPr>
            <w:tcW w:w="1583" w:type="dxa"/>
          </w:tcPr>
          <w:p w14:paraId="02390D57" w14:textId="77777777" w:rsidR="00970733" w:rsidRDefault="00970733" w:rsidP="00970733">
            <w:pPr>
              <w:spacing w:before="60" w:after="60" w:line="240" w:lineRule="auto"/>
              <w:rPr>
                <w:rFonts w:asciiTheme="minorHAnsi" w:hAnsiTheme="minorHAnsi" w:cs="Arial"/>
                <w:sz w:val="22"/>
                <w:lang w:val="en-US"/>
              </w:rPr>
            </w:pPr>
            <w:proofErr w:type="spellStart"/>
            <w:r>
              <w:rPr>
                <w:rFonts w:asciiTheme="minorHAnsi" w:hAnsiTheme="minorHAnsi" w:cs="Arial"/>
                <w:sz w:val="22"/>
                <w:lang w:val="en-US"/>
              </w:rPr>
              <w:t>Watharow</w:t>
            </w:r>
            <w:proofErr w:type="spellEnd"/>
            <w:r>
              <w:rPr>
                <w:rFonts w:asciiTheme="minorHAnsi" w:hAnsiTheme="minorHAnsi" w:cs="Arial"/>
                <w:sz w:val="22"/>
                <w:lang w:val="en-US"/>
              </w:rPr>
              <w:t xml:space="preserve"> &amp; Wayland 2022</w:t>
            </w:r>
          </w:p>
          <w:p w14:paraId="61C16AC4" w14:textId="77777777" w:rsidR="00970733" w:rsidRDefault="00970733" w:rsidP="00970733">
            <w:pPr>
              <w:spacing w:before="60" w:after="60" w:line="240" w:lineRule="auto"/>
              <w:rPr>
                <w:rFonts w:asciiTheme="minorHAnsi" w:hAnsiTheme="minorHAnsi" w:cs="Arial"/>
                <w:sz w:val="22"/>
                <w:lang w:val="en-US"/>
              </w:rPr>
            </w:pPr>
          </w:p>
          <w:p w14:paraId="5429C8D5" w14:textId="77777777" w:rsidR="00970733" w:rsidRPr="00EF53CC" w:rsidRDefault="00970733" w:rsidP="00970733">
            <w:pPr>
              <w:spacing w:before="60" w:after="60" w:line="240" w:lineRule="auto"/>
              <w:rPr>
                <w:rFonts w:asciiTheme="minorHAnsi" w:hAnsiTheme="minorHAnsi" w:cs="Arial"/>
                <w:b/>
                <w:bCs/>
                <w:sz w:val="22"/>
                <w:lang w:val="en-US"/>
              </w:rPr>
            </w:pPr>
            <w:r w:rsidRPr="00EF53CC">
              <w:rPr>
                <w:rFonts w:asciiTheme="minorHAnsi" w:hAnsiTheme="minorHAnsi" w:cs="Arial"/>
                <w:b/>
                <w:bCs/>
                <w:sz w:val="22"/>
                <w:lang w:val="en-US"/>
              </w:rPr>
              <w:t>#1</w:t>
            </w:r>
            <w:r>
              <w:rPr>
                <w:rFonts w:asciiTheme="minorHAnsi" w:hAnsiTheme="minorHAnsi" w:cs="Arial"/>
                <w:b/>
                <w:bCs/>
                <w:sz w:val="22"/>
                <w:lang w:val="en-US"/>
              </w:rPr>
              <w:t>5</w:t>
            </w:r>
          </w:p>
        </w:tc>
        <w:tc>
          <w:tcPr>
            <w:tcW w:w="1655" w:type="dxa"/>
          </w:tcPr>
          <w:p w14:paraId="620A65E0" w14:textId="77777777" w:rsidR="00970733" w:rsidRPr="008D0630" w:rsidRDefault="00970733" w:rsidP="00970733">
            <w:pPr>
              <w:spacing w:before="60" w:after="60" w:line="240" w:lineRule="auto"/>
              <w:rPr>
                <w:rFonts w:asciiTheme="minorHAnsi" w:hAnsiTheme="minorHAnsi" w:cs="Arial"/>
                <w:sz w:val="22"/>
                <w:lang w:val="en-US"/>
              </w:rPr>
            </w:pPr>
            <w:r w:rsidRPr="00CC687C">
              <w:rPr>
                <w:rFonts w:asciiTheme="minorHAnsi" w:hAnsiTheme="minorHAnsi" w:cs="Arial"/>
                <w:sz w:val="22"/>
                <w:lang w:val="en-US"/>
              </w:rPr>
              <w:t>Yes (lead author lived experience researcher)</w:t>
            </w:r>
            <w:r>
              <w:rPr>
                <w:rFonts w:asciiTheme="minorHAnsi" w:hAnsiTheme="minorHAnsi" w:cs="Arial"/>
                <w:sz w:val="22"/>
                <w:lang w:val="en-US"/>
              </w:rPr>
              <w:t>.</w:t>
            </w:r>
          </w:p>
        </w:tc>
        <w:tc>
          <w:tcPr>
            <w:tcW w:w="1644" w:type="dxa"/>
          </w:tcPr>
          <w:p w14:paraId="43F31BB1" w14:textId="159C7C9E" w:rsidR="00970733" w:rsidRPr="008D0630" w:rsidRDefault="00970733" w:rsidP="00970733">
            <w:pPr>
              <w:spacing w:before="60" w:after="60" w:line="240" w:lineRule="auto"/>
              <w:rPr>
                <w:rFonts w:asciiTheme="minorHAnsi" w:hAnsiTheme="minorHAnsi" w:cs="Arial"/>
                <w:sz w:val="22"/>
                <w:lang w:val="en-US"/>
              </w:rPr>
            </w:pPr>
            <w:proofErr w:type="spellStart"/>
            <w:r>
              <w:rPr>
                <w:rFonts w:asciiTheme="minorHAnsi" w:hAnsiTheme="minorHAnsi" w:cs="Arial"/>
                <w:sz w:val="22"/>
                <w:lang w:val="en-US"/>
              </w:rPr>
              <w:t>Deafblindness</w:t>
            </w:r>
            <w:proofErr w:type="spellEnd"/>
          </w:p>
        </w:tc>
        <w:tc>
          <w:tcPr>
            <w:tcW w:w="1626" w:type="dxa"/>
          </w:tcPr>
          <w:p w14:paraId="607A1C8E"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18</w:t>
            </w:r>
          </w:p>
        </w:tc>
        <w:tc>
          <w:tcPr>
            <w:tcW w:w="1735" w:type="dxa"/>
          </w:tcPr>
          <w:p w14:paraId="47A669D3"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Through co-design and consultation, identify how to conduct qualitative research involving people who are Deafblind. Specific focus on informed consent.</w:t>
            </w:r>
          </w:p>
        </w:tc>
        <w:tc>
          <w:tcPr>
            <w:tcW w:w="1594" w:type="dxa"/>
          </w:tcPr>
          <w:p w14:paraId="56368F41" w14:textId="77777777" w:rsidR="00970733" w:rsidRPr="008D0630" w:rsidRDefault="00970733" w:rsidP="00970733">
            <w:pPr>
              <w:spacing w:before="60" w:after="60" w:line="240" w:lineRule="auto"/>
              <w:rPr>
                <w:rFonts w:asciiTheme="minorHAnsi" w:hAnsiTheme="minorHAnsi" w:cs="Arial"/>
                <w:sz w:val="22"/>
                <w:lang w:val="en-US"/>
              </w:rPr>
            </w:pPr>
            <w:r w:rsidRPr="00BC0B98">
              <w:rPr>
                <w:rFonts w:asciiTheme="minorHAnsi" w:hAnsiTheme="minorHAnsi" w:cs="Arial"/>
                <w:sz w:val="22"/>
                <w:lang w:val="en-US"/>
              </w:rPr>
              <w:t xml:space="preserve">Ethnicity </w:t>
            </w:r>
            <w:proofErr w:type="gramStart"/>
            <w:r w:rsidRPr="00BC0B98">
              <w:rPr>
                <w:rFonts w:asciiTheme="minorHAnsi" w:hAnsiTheme="minorHAnsi" w:cs="Arial"/>
                <w:sz w:val="22"/>
                <w:lang w:val="en-US"/>
              </w:rPr>
              <w:t>not</w:t>
            </w:r>
            <w:proofErr w:type="gramEnd"/>
            <w:r w:rsidRPr="00BC0B98">
              <w:rPr>
                <w:rFonts w:asciiTheme="minorHAnsi" w:hAnsiTheme="minorHAnsi" w:cs="Arial"/>
                <w:sz w:val="22"/>
                <w:lang w:val="en-US"/>
              </w:rPr>
              <w:t xml:space="preserve"> stated but language culture</w:t>
            </w:r>
            <w:r>
              <w:rPr>
                <w:rFonts w:asciiTheme="minorHAnsi" w:hAnsiTheme="minorHAnsi" w:cs="Arial"/>
                <w:sz w:val="22"/>
                <w:lang w:val="en-US"/>
              </w:rPr>
              <w:t>s</w:t>
            </w:r>
            <w:r w:rsidRPr="00BC0B98">
              <w:rPr>
                <w:rFonts w:asciiTheme="minorHAnsi" w:hAnsiTheme="minorHAnsi" w:cs="Arial"/>
                <w:sz w:val="22"/>
                <w:lang w:val="en-US"/>
              </w:rPr>
              <w:t xml:space="preserve"> stated.</w:t>
            </w:r>
          </w:p>
        </w:tc>
        <w:tc>
          <w:tcPr>
            <w:tcW w:w="1470" w:type="dxa"/>
          </w:tcPr>
          <w:p w14:paraId="06229505"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Australia</w:t>
            </w:r>
          </w:p>
        </w:tc>
        <w:tc>
          <w:tcPr>
            <w:tcW w:w="1623" w:type="dxa"/>
          </w:tcPr>
          <w:p w14:paraId="77BBA393"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Qualitative</w:t>
            </w:r>
          </w:p>
        </w:tc>
      </w:tr>
      <w:tr w:rsidR="00970733" w:rsidRPr="008D0630" w14:paraId="2D88348B" w14:textId="77777777" w:rsidTr="00970733">
        <w:tc>
          <w:tcPr>
            <w:tcW w:w="1583" w:type="dxa"/>
          </w:tcPr>
          <w:p w14:paraId="4FA8BC9B"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 xml:space="preserve">Kim &amp; </w:t>
            </w:r>
            <w:proofErr w:type="spellStart"/>
            <w:r>
              <w:rPr>
                <w:rFonts w:asciiTheme="minorHAnsi" w:hAnsiTheme="minorHAnsi" w:cs="Arial"/>
                <w:sz w:val="22"/>
                <w:lang w:val="en-US"/>
              </w:rPr>
              <w:t>Sutharson</w:t>
            </w:r>
            <w:proofErr w:type="spellEnd"/>
            <w:r>
              <w:rPr>
                <w:rFonts w:asciiTheme="minorHAnsi" w:hAnsiTheme="minorHAnsi" w:cs="Arial"/>
                <w:sz w:val="22"/>
                <w:lang w:val="en-US"/>
              </w:rPr>
              <w:t xml:space="preserve"> 2022</w:t>
            </w:r>
          </w:p>
          <w:p w14:paraId="17586240" w14:textId="77777777" w:rsidR="00970733" w:rsidRDefault="00970733" w:rsidP="00970733">
            <w:pPr>
              <w:spacing w:before="60" w:after="60" w:line="240" w:lineRule="auto"/>
              <w:rPr>
                <w:rFonts w:asciiTheme="minorHAnsi" w:hAnsiTheme="minorHAnsi" w:cs="Arial"/>
                <w:sz w:val="22"/>
                <w:lang w:val="en-US"/>
              </w:rPr>
            </w:pPr>
          </w:p>
          <w:p w14:paraId="34BDDFDB" w14:textId="77777777" w:rsidR="00970733" w:rsidRPr="00EF53CC" w:rsidRDefault="00970733" w:rsidP="00970733">
            <w:pPr>
              <w:spacing w:before="60" w:after="60" w:line="240" w:lineRule="auto"/>
              <w:rPr>
                <w:rFonts w:asciiTheme="minorHAnsi" w:hAnsiTheme="minorHAnsi" w:cs="Arial"/>
                <w:b/>
                <w:bCs/>
                <w:sz w:val="22"/>
                <w:lang w:val="en-US"/>
              </w:rPr>
            </w:pPr>
            <w:r w:rsidRPr="00EF53CC">
              <w:rPr>
                <w:rFonts w:asciiTheme="minorHAnsi" w:hAnsiTheme="minorHAnsi" w:cs="Arial"/>
                <w:b/>
                <w:bCs/>
                <w:sz w:val="22"/>
                <w:lang w:val="en-US"/>
              </w:rPr>
              <w:t>#1</w:t>
            </w:r>
            <w:r>
              <w:rPr>
                <w:rFonts w:asciiTheme="minorHAnsi" w:hAnsiTheme="minorHAnsi" w:cs="Arial"/>
                <w:b/>
                <w:bCs/>
                <w:sz w:val="22"/>
                <w:lang w:val="en-US"/>
              </w:rPr>
              <w:t>6</w:t>
            </w:r>
          </w:p>
        </w:tc>
        <w:tc>
          <w:tcPr>
            <w:tcW w:w="1655" w:type="dxa"/>
          </w:tcPr>
          <w:p w14:paraId="7341ADA5" w14:textId="77777777" w:rsidR="00970733" w:rsidRPr="00CC687C"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Not stated</w:t>
            </w:r>
          </w:p>
        </w:tc>
        <w:tc>
          <w:tcPr>
            <w:tcW w:w="1644" w:type="dxa"/>
          </w:tcPr>
          <w:p w14:paraId="39AF9205" w14:textId="44C3B1A2"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Severe vision impairment</w:t>
            </w:r>
          </w:p>
        </w:tc>
        <w:tc>
          <w:tcPr>
            <w:tcW w:w="1626" w:type="dxa"/>
          </w:tcPr>
          <w:p w14:paraId="1F81A60E"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28</w:t>
            </w:r>
          </w:p>
        </w:tc>
        <w:tc>
          <w:tcPr>
            <w:tcW w:w="1735" w:type="dxa"/>
          </w:tcPr>
          <w:p w14:paraId="4BCC3190"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To collate p</w:t>
            </w:r>
            <w:r w:rsidRPr="00156E01">
              <w:rPr>
                <w:rFonts w:asciiTheme="minorHAnsi" w:hAnsiTheme="minorHAnsi" w:cs="Arial"/>
                <w:sz w:val="22"/>
                <w:lang w:val="en-US"/>
              </w:rPr>
              <w:t>articipant perceptions of research and informed consent processes during the COVID-19 pandemic</w:t>
            </w:r>
          </w:p>
        </w:tc>
        <w:tc>
          <w:tcPr>
            <w:tcW w:w="1594" w:type="dxa"/>
          </w:tcPr>
          <w:p w14:paraId="73965047" w14:textId="77777777" w:rsidR="00970733" w:rsidRPr="00BC0B98"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 xml:space="preserve">African American 36%, White 58%, American Indian 3%, </w:t>
            </w:r>
            <w:proofErr w:type="gramStart"/>
            <w:r>
              <w:rPr>
                <w:rFonts w:asciiTheme="minorHAnsi" w:hAnsiTheme="minorHAnsi" w:cs="Arial"/>
                <w:sz w:val="22"/>
                <w:lang w:val="en-US"/>
              </w:rPr>
              <w:t>Other</w:t>
            </w:r>
            <w:proofErr w:type="gramEnd"/>
            <w:r>
              <w:rPr>
                <w:rFonts w:asciiTheme="minorHAnsi" w:hAnsiTheme="minorHAnsi" w:cs="Arial"/>
                <w:sz w:val="22"/>
                <w:lang w:val="en-US"/>
              </w:rPr>
              <w:t xml:space="preserve"> 3%</w:t>
            </w:r>
          </w:p>
        </w:tc>
        <w:tc>
          <w:tcPr>
            <w:tcW w:w="1470" w:type="dxa"/>
          </w:tcPr>
          <w:p w14:paraId="6892B45E" w14:textId="77777777" w:rsidR="00970733" w:rsidRDefault="00970733" w:rsidP="00970733">
            <w:pPr>
              <w:spacing w:before="60" w:after="60" w:line="240" w:lineRule="auto"/>
              <w:rPr>
                <w:rFonts w:asciiTheme="minorHAnsi" w:hAnsiTheme="minorHAnsi" w:cs="Arial"/>
                <w:sz w:val="22"/>
                <w:lang w:val="en-US"/>
              </w:rPr>
            </w:pPr>
            <w:r w:rsidRPr="008D0630">
              <w:rPr>
                <w:rFonts w:asciiTheme="minorHAnsi" w:hAnsiTheme="minorHAnsi" w:cs="Arial"/>
                <w:sz w:val="22"/>
                <w:lang w:val="en-US"/>
              </w:rPr>
              <w:t>U</w:t>
            </w:r>
            <w:r>
              <w:rPr>
                <w:rFonts w:asciiTheme="minorHAnsi" w:hAnsiTheme="minorHAnsi" w:cs="Arial"/>
                <w:sz w:val="22"/>
                <w:lang w:val="en-US"/>
              </w:rPr>
              <w:t>nited States of America</w:t>
            </w:r>
          </w:p>
        </w:tc>
        <w:tc>
          <w:tcPr>
            <w:tcW w:w="1623" w:type="dxa"/>
          </w:tcPr>
          <w:p w14:paraId="5F1E6EA9"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Qualitative</w:t>
            </w:r>
          </w:p>
        </w:tc>
      </w:tr>
      <w:tr w:rsidR="00970733" w:rsidRPr="008D0630" w14:paraId="2860BBC6" w14:textId="77777777" w:rsidTr="00970733">
        <w:tc>
          <w:tcPr>
            <w:tcW w:w="1583" w:type="dxa"/>
          </w:tcPr>
          <w:p w14:paraId="5D548898"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Wittich et al. 2023</w:t>
            </w:r>
          </w:p>
          <w:p w14:paraId="0F090FBB" w14:textId="77777777" w:rsidR="00970733" w:rsidRDefault="00970733" w:rsidP="00970733">
            <w:pPr>
              <w:spacing w:before="60" w:after="60" w:line="240" w:lineRule="auto"/>
              <w:rPr>
                <w:rFonts w:asciiTheme="minorHAnsi" w:hAnsiTheme="minorHAnsi" w:cs="Arial"/>
                <w:sz w:val="22"/>
                <w:lang w:val="en-US"/>
              </w:rPr>
            </w:pPr>
          </w:p>
          <w:p w14:paraId="69AD2A9C" w14:textId="77777777" w:rsidR="00970733" w:rsidRPr="00EF53CC" w:rsidRDefault="00970733" w:rsidP="00970733">
            <w:pPr>
              <w:spacing w:before="60" w:after="60" w:line="240" w:lineRule="auto"/>
              <w:rPr>
                <w:rFonts w:asciiTheme="minorHAnsi" w:hAnsiTheme="minorHAnsi" w:cs="Arial"/>
                <w:b/>
                <w:bCs/>
                <w:sz w:val="22"/>
                <w:lang w:val="en-US"/>
              </w:rPr>
            </w:pPr>
            <w:r w:rsidRPr="00EF53CC">
              <w:rPr>
                <w:rFonts w:asciiTheme="minorHAnsi" w:hAnsiTheme="minorHAnsi" w:cs="Arial"/>
                <w:b/>
                <w:bCs/>
                <w:sz w:val="22"/>
                <w:lang w:val="en-US"/>
              </w:rPr>
              <w:t>#1</w:t>
            </w:r>
            <w:r>
              <w:rPr>
                <w:rFonts w:asciiTheme="minorHAnsi" w:hAnsiTheme="minorHAnsi" w:cs="Arial"/>
                <w:b/>
                <w:bCs/>
                <w:sz w:val="22"/>
                <w:lang w:val="en-US"/>
              </w:rPr>
              <w:t>7</w:t>
            </w:r>
          </w:p>
        </w:tc>
        <w:tc>
          <w:tcPr>
            <w:tcW w:w="1655" w:type="dxa"/>
          </w:tcPr>
          <w:p w14:paraId="33488CEC"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 xml:space="preserve">Yes, one member of the research team has </w:t>
            </w:r>
            <w:proofErr w:type="gramStart"/>
            <w:r>
              <w:rPr>
                <w:rFonts w:asciiTheme="minorHAnsi" w:hAnsiTheme="minorHAnsi" w:cs="Arial"/>
                <w:sz w:val="22"/>
                <w:lang w:val="en-US"/>
              </w:rPr>
              <w:t>lived</w:t>
            </w:r>
            <w:proofErr w:type="gramEnd"/>
            <w:r>
              <w:rPr>
                <w:rFonts w:asciiTheme="minorHAnsi" w:hAnsiTheme="minorHAnsi" w:cs="Arial"/>
                <w:sz w:val="22"/>
                <w:lang w:val="en-US"/>
              </w:rPr>
              <w:t xml:space="preserve"> experience of blindness.</w:t>
            </w:r>
          </w:p>
        </w:tc>
        <w:tc>
          <w:tcPr>
            <w:tcW w:w="1644" w:type="dxa"/>
          </w:tcPr>
          <w:p w14:paraId="015302F2" w14:textId="550A9880" w:rsidR="00970733" w:rsidRPr="008D0630" w:rsidRDefault="00970733" w:rsidP="00970733">
            <w:pPr>
              <w:spacing w:before="60" w:after="60" w:line="240" w:lineRule="auto"/>
              <w:rPr>
                <w:rFonts w:asciiTheme="minorHAnsi" w:hAnsiTheme="minorHAnsi" w:cs="Arial"/>
                <w:sz w:val="22"/>
                <w:lang w:val="en-US"/>
              </w:rPr>
            </w:pPr>
            <w:proofErr w:type="spellStart"/>
            <w:r>
              <w:rPr>
                <w:rFonts w:asciiTheme="minorHAnsi" w:hAnsiTheme="minorHAnsi" w:cs="Arial"/>
                <w:sz w:val="22"/>
                <w:lang w:val="en-US"/>
              </w:rPr>
              <w:t>Deafblindness</w:t>
            </w:r>
            <w:proofErr w:type="spellEnd"/>
          </w:p>
        </w:tc>
        <w:tc>
          <w:tcPr>
            <w:tcW w:w="1626" w:type="dxa"/>
          </w:tcPr>
          <w:p w14:paraId="68A49CC8"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184</w:t>
            </w:r>
          </w:p>
          <w:p w14:paraId="0E1F9E92"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(+ 14 staff)</w:t>
            </w:r>
          </w:p>
        </w:tc>
        <w:tc>
          <w:tcPr>
            <w:tcW w:w="1735" w:type="dxa"/>
          </w:tcPr>
          <w:p w14:paraId="6E12F3EB" w14:textId="77777777" w:rsidR="00970733" w:rsidRPr="008D0630" w:rsidRDefault="00970733" w:rsidP="00970733">
            <w:pPr>
              <w:spacing w:before="60" w:after="60" w:line="240" w:lineRule="auto"/>
              <w:rPr>
                <w:rFonts w:asciiTheme="minorHAnsi" w:hAnsiTheme="minorHAnsi" w:cs="Arial"/>
                <w:sz w:val="22"/>
                <w:lang w:val="en-US"/>
              </w:rPr>
            </w:pPr>
            <w:r w:rsidRPr="00917D3E">
              <w:rPr>
                <w:rFonts w:asciiTheme="minorHAnsi" w:hAnsiTheme="minorHAnsi" w:cs="Arial"/>
                <w:sz w:val="22"/>
                <w:lang w:val="en-US"/>
              </w:rPr>
              <w:t xml:space="preserve">Address 3 questions: 1) procedures to facilitate optimal recruitment, 2) </w:t>
            </w:r>
            <w:r>
              <w:rPr>
                <w:rFonts w:asciiTheme="minorHAnsi" w:hAnsiTheme="minorHAnsi" w:cs="Arial"/>
                <w:sz w:val="22"/>
                <w:lang w:val="en-US"/>
              </w:rPr>
              <w:t>consent</w:t>
            </w:r>
            <w:r w:rsidRPr="00917D3E">
              <w:rPr>
                <w:rFonts w:asciiTheme="minorHAnsi" w:hAnsiTheme="minorHAnsi" w:cs="Arial"/>
                <w:sz w:val="22"/>
                <w:lang w:val="en-US"/>
              </w:rPr>
              <w:t xml:space="preserve"> adaptations, 3) Training recommended to help prepare researchers to engage with people with </w:t>
            </w:r>
            <w:proofErr w:type="spellStart"/>
            <w:r>
              <w:rPr>
                <w:rFonts w:asciiTheme="minorHAnsi" w:hAnsiTheme="minorHAnsi" w:cs="Arial"/>
                <w:sz w:val="22"/>
                <w:lang w:val="en-US"/>
              </w:rPr>
              <w:t>deafblindness</w:t>
            </w:r>
            <w:proofErr w:type="spellEnd"/>
            <w:r w:rsidRPr="00917D3E">
              <w:rPr>
                <w:rFonts w:asciiTheme="minorHAnsi" w:hAnsiTheme="minorHAnsi" w:cs="Arial"/>
                <w:sz w:val="22"/>
                <w:lang w:val="en-US"/>
              </w:rPr>
              <w:t xml:space="preserve"> in research.</w:t>
            </w:r>
          </w:p>
        </w:tc>
        <w:tc>
          <w:tcPr>
            <w:tcW w:w="1594" w:type="dxa"/>
          </w:tcPr>
          <w:p w14:paraId="68247701"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Not stated</w:t>
            </w:r>
          </w:p>
        </w:tc>
        <w:tc>
          <w:tcPr>
            <w:tcW w:w="1470" w:type="dxa"/>
          </w:tcPr>
          <w:p w14:paraId="59F64C49"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Canada</w:t>
            </w:r>
          </w:p>
        </w:tc>
        <w:tc>
          <w:tcPr>
            <w:tcW w:w="1623" w:type="dxa"/>
          </w:tcPr>
          <w:p w14:paraId="58D96E13"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 xml:space="preserve">Qualitative </w:t>
            </w:r>
          </w:p>
        </w:tc>
      </w:tr>
      <w:tr w:rsidR="00970733" w:rsidRPr="008D0630" w14:paraId="401FD0C3" w14:textId="77777777" w:rsidTr="00970733">
        <w:tc>
          <w:tcPr>
            <w:tcW w:w="1583" w:type="dxa"/>
          </w:tcPr>
          <w:p w14:paraId="221071D9" w14:textId="77777777" w:rsidR="00970733" w:rsidRDefault="00970733" w:rsidP="00970733">
            <w:pPr>
              <w:spacing w:before="60" w:after="60" w:line="240" w:lineRule="auto"/>
              <w:rPr>
                <w:rFonts w:asciiTheme="minorHAnsi" w:hAnsiTheme="minorHAnsi" w:cs="Arial"/>
                <w:sz w:val="22"/>
                <w:lang w:val="en-US"/>
              </w:rPr>
            </w:pPr>
            <w:proofErr w:type="spellStart"/>
            <w:r>
              <w:rPr>
                <w:rFonts w:asciiTheme="minorHAnsi" w:hAnsiTheme="minorHAnsi" w:cs="Arial"/>
                <w:sz w:val="22"/>
                <w:lang w:val="en-US"/>
              </w:rPr>
              <w:t>Kushalnagar</w:t>
            </w:r>
            <w:proofErr w:type="spellEnd"/>
            <w:r>
              <w:rPr>
                <w:rFonts w:asciiTheme="minorHAnsi" w:hAnsiTheme="minorHAnsi" w:cs="Arial"/>
                <w:sz w:val="22"/>
                <w:lang w:val="en-US"/>
              </w:rPr>
              <w:t xml:space="preserve"> et al. 2023</w:t>
            </w:r>
          </w:p>
          <w:p w14:paraId="6BEC6048" w14:textId="77777777" w:rsidR="00970733" w:rsidRDefault="00970733" w:rsidP="00970733">
            <w:pPr>
              <w:spacing w:before="60" w:after="60" w:line="240" w:lineRule="auto"/>
              <w:rPr>
                <w:rFonts w:asciiTheme="minorHAnsi" w:hAnsiTheme="minorHAnsi" w:cs="Arial"/>
                <w:b/>
                <w:bCs/>
                <w:sz w:val="22"/>
                <w:lang w:val="en-US"/>
              </w:rPr>
            </w:pPr>
          </w:p>
          <w:p w14:paraId="66368AD0" w14:textId="77777777" w:rsidR="00970733" w:rsidRPr="008D0630" w:rsidRDefault="00970733" w:rsidP="00970733">
            <w:pPr>
              <w:spacing w:before="60" w:after="60" w:line="240" w:lineRule="auto"/>
              <w:rPr>
                <w:rFonts w:asciiTheme="minorHAnsi" w:hAnsiTheme="minorHAnsi" w:cs="Arial"/>
                <w:b/>
                <w:bCs/>
                <w:sz w:val="22"/>
                <w:lang w:val="en-US"/>
              </w:rPr>
            </w:pPr>
            <w:r>
              <w:rPr>
                <w:rFonts w:asciiTheme="minorHAnsi" w:hAnsiTheme="minorHAnsi" w:cs="Arial"/>
                <w:b/>
                <w:bCs/>
                <w:sz w:val="22"/>
                <w:lang w:val="en-US"/>
              </w:rPr>
              <w:t>#18</w:t>
            </w:r>
          </w:p>
        </w:tc>
        <w:tc>
          <w:tcPr>
            <w:tcW w:w="1655" w:type="dxa"/>
          </w:tcPr>
          <w:p w14:paraId="557833B0" w14:textId="77777777" w:rsidR="00970733" w:rsidRPr="008D0630" w:rsidRDefault="00970733" w:rsidP="00970733">
            <w:pPr>
              <w:spacing w:before="60" w:after="60" w:line="240" w:lineRule="auto"/>
              <w:rPr>
                <w:rFonts w:asciiTheme="minorHAnsi" w:hAnsiTheme="minorHAnsi" w:cs="Arial"/>
                <w:b/>
                <w:bCs/>
                <w:sz w:val="22"/>
                <w:lang w:val="en-US"/>
              </w:rPr>
            </w:pPr>
            <w:r w:rsidRPr="00D5053A">
              <w:rPr>
                <w:rFonts w:asciiTheme="minorHAnsi" w:hAnsiTheme="minorHAnsi" w:cs="Arial"/>
                <w:sz w:val="22"/>
                <w:lang w:val="en-US"/>
              </w:rPr>
              <w:t xml:space="preserve">Yes </w:t>
            </w:r>
            <w:r>
              <w:rPr>
                <w:rFonts w:asciiTheme="minorHAnsi" w:hAnsiTheme="minorHAnsi" w:cs="Arial"/>
                <w:sz w:val="22"/>
                <w:lang w:val="en-US"/>
              </w:rPr>
              <w:t>(PI, CI and facilitators)</w:t>
            </w:r>
          </w:p>
        </w:tc>
        <w:tc>
          <w:tcPr>
            <w:tcW w:w="1644" w:type="dxa"/>
          </w:tcPr>
          <w:p w14:paraId="7F63D6E0" w14:textId="1570531D" w:rsidR="00970733" w:rsidRPr="008D0630" w:rsidRDefault="00970733" w:rsidP="00970733">
            <w:pPr>
              <w:spacing w:before="60" w:after="60" w:line="240" w:lineRule="auto"/>
              <w:rPr>
                <w:rFonts w:asciiTheme="minorHAnsi" w:hAnsiTheme="minorHAnsi" w:cs="Arial"/>
                <w:b/>
                <w:bCs/>
                <w:sz w:val="22"/>
                <w:lang w:val="en-US"/>
              </w:rPr>
            </w:pPr>
            <w:r w:rsidRPr="008D0630">
              <w:rPr>
                <w:rFonts w:asciiTheme="minorHAnsi" w:hAnsiTheme="minorHAnsi" w:cs="Arial"/>
                <w:sz w:val="22"/>
                <w:lang w:val="en-US"/>
              </w:rPr>
              <w:t xml:space="preserve">Deaf, </w:t>
            </w:r>
            <w:r>
              <w:rPr>
                <w:rFonts w:asciiTheme="minorHAnsi" w:hAnsiTheme="minorHAnsi" w:cs="Arial"/>
                <w:sz w:val="22"/>
                <w:lang w:val="en-US"/>
              </w:rPr>
              <w:t>sign language users</w:t>
            </w:r>
          </w:p>
        </w:tc>
        <w:tc>
          <w:tcPr>
            <w:tcW w:w="1626" w:type="dxa"/>
          </w:tcPr>
          <w:p w14:paraId="34375DD1" w14:textId="77777777" w:rsidR="00970733" w:rsidRPr="008D0630" w:rsidRDefault="00970733" w:rsidP="00970733">
            <w:pPr>
              <w:spacing w:before="60" w:after="60" w:line="240" w:lineRule="auto"/>
              <w:rPr>
                <w:rFonts w:asciiTheme="minorHAnsi" w:hAnsiTheme="minorHAnsi" w:cs="Arial"/>
                <w:b/>
                <w:bCs/>
                <w:sz w:val="22"/>
                <w:lang w:val="en-US"/>
              </w:rPr>
            </w:pPr>
            <w:r>
              <w:rPr>
                <w:rFonts w:asciiTheme="minorHAnsi" w:hAnsiTheme="minorHAnsi" w:cs="Arial"/>
                <w:sz w:val="22"/>
                <w:lang w:val="en-US"/>
              </w:rPr>
              <w:t>120</w:t>
            </w:r>
          </w:p>
        </w:tc>
        <w:tc>
          <w:tcPr>
            <w:tcW w:w="1735" w:type="dxa"/>
          </w:tcPr>
          <w:p w14:paraId="4B16D9F1" w14:textId="77777777" w:rsidR="00970733" w:rsidRPr="008D0630" w:rsidRDefault="00970733" w:rsidP="00970733">
            <w:pPr>
              <w:spacing w:before="60" w:after="60" w:line="240" w:lineRule="auto"/>
              <w:rPr>
                <w:rFonts w:asciiTheme="minorHAnsi" w:hAnsiTheme="minorHAnsi" w:cs="Arial"/>
                <w:b/>
                <w:bCs/>
                <w:sz w:val="22"/>
                <w:lang w:val="en-US"/>
              </w:rPr>
            </w:pPr>
            <w:r w:rsidRPr="00F4771B">
              <w:rPr>
                <w:rFonts w:asciiTheme="minorHAnsi" w:hAnsiTheme="minorHAnsi" w:cs="Arial"/>
                <w:sz w:val="22"/>
                <w:lang w:val="en-US"/>
              </w:rPr>
              <w:t xml:space="preserve">To </w:t>
            </w:r>
            <w:r>
              <w:rPr>
                <w:rFonts w:asciiTheme="minorHAnsi" w:hAnsiTheme="minorHAnsi" w:cs="Arial"/>
                <w:sz w:val="22"/>
                <w:lang w:val="en-US"/>
              </w:rPr>
              <w:t>identify</w:t>
            </w:r>
            <w:r w:rsidRPr="00F4771B">
              <w:rPr>
                <w:rFonts w:asciiTheme="minorHAnsi" w:hAnsiTheme="minorHAnsi" w:cs="Arial"/>
                <w:sz w:val="22"/>
                <w:lang w:val="en-US"/>
              </w:rPr>
              <w:t xml:space="preserve"> the common barriers to deaf people’s inclusion in clinical trials and how researchers can overcome these barriers to ensure equal access for study participation.</w:t>
            </w:r>
          </w:p>
        </w:tc>
        <w:tc>
          <w:tcPr>
            <w:tcW w:w="1594" w:type="dxa"/>
          </w:tcPr>
          <w:p w14:paraId="46B3C32C" w14:textId="77777777" w:rsidR="00970733" w:rsidRPr="008D0630" w:rsidRDefault="00970733" w:rsidP="00970733">
            <w:pPr>
              <w:spacing w:before="60" w:after="60" w:line="240" w:lineRule="auto"/>
              <w:rPr>
                <w:rFonts w:asciiTheme="minorHAnsi" w:hAnsiTheme="minorHAnsi" w:cs="Arial"/>
                <w:b/>
                <w:bCs/>
                <w:sz w:val="22"/>
                <w:lang w:val="en-US"/>
              </w:rPr>
            </w:pPr>
            <w:r>
              <w:rPr>
                <w:rFonts w:asciiTheme="minorHAnsi" w:hAnsiTheme="minorHAnsi" w:cs="Arial"/>
                <w:sz w:val="22"/>
                <w:lang w:val="en-US"/>
              </w:rPr>
              <w:t>Not stated</w:t>
            </w:r>
          </w:p>
        </w:tc>
        <w:tc>
          <w:tcPr>
            <w:tcW w:w="1470" w:type="dxa"/>
          </w:tcPr>
          <w:p w14:paraId="795359E7" w14:textId="77777777" w:rsidR="00970733" w:rsidRPr="008D0630" w:rsidRDefault="00970733" w:rsidP="00970733">
            <w:pPr>
              <w:spacing w:before="60" w:after="60" w:line="240" w:lineRule="auto"/>
              <w:rPr>
                <w:rFonts w:asciiTheme="minorHAnsi" w:hAnsiTheme="minorHAnsi" w:cs="Arial"/>
                <w:b/>
                <w:bCs/>
                <w:sz w:val="22"/>
                <w:lang w:val="en-US"/>
              </w:rPr>
            </w:pPr>
            <w:r w:rsidRPr="008D0630">
              <w:rPr>
                <w:rFonts w:asciiTheme="minorHAnsi" w:hAnsiTheme="minorHAnsi" w:cs="Arial"/>
                <w:sz w:val="22"/>
                <w:lang w:val="en-US"/>
              </w:rPr>
              <w:t>U</w:t>
            </w:r>
            <w:r>
              <w:rPr>
                <w:rFonts w:asciiTheme="minorHAnsi" w:hAnsiTheme="minorHAnsi" w:cs="Arial"/>
                <w:sz w:val="22"/>
                <w:lang w:val="en-US"/>
              </w:rPr>
              <w:t>nited States of America</w:t>
            </w:r>
          </w:p>
        </w:tc>
        <w:tc>
          <w:tcPr>
            <w:tcW w:w="1623" w:type="dxa"/>
          </w:tcPr>
          <w:p w14:paraId="0DACFAD7" w14:textId="77777777" w:rsidR="00970733" w:rsidRPr="008D0630" w:rsidRDefault="00970733" w:rsidP="00970733">
            <w:pPr>
              <w:spacing w:before="60" w:after="60" w:line="240" w:lineRule="auto"/>
              <w:rPr>
                <w:rFonts w:asciiTheme="minorHAnsi" w:hAnsiTheme="minorHAnsi" w:cs="Arial"/>
                <w:b/>
                <w:bCs/>
                <w:sz w:val="22"/>
                <w:lang w:val="en-US"/>
              </w:rPr>
            </w:pPr>
            <w:r>
              <w:rPr>
                <w:rFonts w:asciiTheme="minorHAnsi" w:hAnsiTheme="minorHAnsi" w:cs="Arial"/>
                <w:sz w:val="22"/>
                <w:lang w:val="en-US"/>
              </w:rPr>
              <w:t>Mixed methods</w:t>
            </w:r>
          </w:p>
        </w:tc>
      </w:tr>
      <w:tr w:rsidR="00970733" w:rsidRPr="008D0630" w14:paraId="69B87F0F" w14:textId="77777777" w:rsidTr="00970733">
        <w:tc>
          <w:tcPr>
            <w:tcW w:w="1583" w:type="dxa"/>
          </w:tcPr>
          <w:p w14:paraId="1F98ADB2"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McGrath et al. 2025</w:t>
            </w:r>
          </w:p>
          <w:p w14:paraId="3F4C4BDF" w14:textId="77777777" w:rsidR="00970733" w:rsidRDefault="00970733" w:rsidP="00970733">
            <w:pPr>
              <w:spacing w:before="60" w:after="60" w:line="240" w:lineRule="auto"/>
              <w:rPr>
                <w:rFonts w:asciiTheme="minorHAnsi" w:hAnsiTheme="minorHAnsi" w:cs="Arial"/>
                <w:sz w:val="22"/>
                <w:lang w:val="en-US"/>
              </w:rPr>
            </w:pPr>
          </w:p>
          <w:p w14:paraId="6D078B6B" w14:textId="77777777" w:rsidR="00970733" w:rsidRPr="00062C03" w:rsidRDefault="00970733" w:rsidP="00970733">
            <w:pPr>
              <w:spacing w:before="60" w:after="60" w:line="240" w:lineRule="auto"/>
              <w:rPr>
                <w:rFonts w:asciiTheme="minorHAnsi" w:hAnsiTheme="minorHAnsi" w:cs="Arial"/>
                <w:b/>
                <w:bCs/>
                <w:sz w:val="22"/>
                <w:lang w:val="en-US"/>
              </w:rPr>
            </w:pPr>
            <w:r w:rsidRPr="00062C03">
              <w:rPr>
                <w:rFonts w:asciiTheme="minorHAnsi" w:hAnsiTheme="minorHAnsi" w:cs="Arial"/>
                <w:b/>
                <w:bCs/>
                <w:sz w:val="22"/>
                <w:lang w:val="en-US"/>
              </w:rPr>
              <w:t>#1</w:t>
            </w:r>
            <w:r>
              <w:rPr>
                <w:rFonts w:asciiTheme="minorHAnsi" w:hAnsiTheme="minorHAnsi" w:cs="Arial"/>
                <w:b/>
                <w:bCs/>
                <w:sz w:val="22"/>
                <w:lang w:val="en-US"/>
              </w:rPr>
              <w:t>9</w:t>
            </w:r>
          </w:p>
          <w:p w14:paraId="557C66CE" w14:textId="77777777" w:rsidR="00970733" w:rsidRDefault="00970733" w:rsidP="00970733">
            <w:pPr>
              <w:spacing w:before="60" w:after="60" w:line="240" w:lineRule="auto"/>
              <w:rPr>
                <w:rFonts w:asciiTheme="minorHAnsi" w:hAnsiTheme="minorHAnsi" w:cs="Arial"/>
                <w:sz w:val="22"/>
                <w:lang w:val="en-US"/>
              </w:rPr>
            </w:pPr>
          </w:p>
        </w:tc>
        <w:tc>
          <w:tcPr>
            <w:tcW w:w="1655" w:type="dxa"/>
          </w:tcPr>
          <w:p w14:paraId="2080CC12"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Yes (two authors with lived experience of vision impairment)</w:t>
            </w:r>
          </w:p>
        </w:tc>
        <w:tc>
          <w:tcPr>
            <w:tcW w:w="1644" w:type="dxa"/>
          </w:tcPr>
          <w:p w14:paraId="0821A336" w14:textId="583DE3B2"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Vision loss (blind and partially sighted)</w:t>
            </w:r>
          </w:p>
        </w:tc>
        <w:tc>
          <w:tcPr>
            <w:tcW w:w="1626" w:type="dxa"/>
          </w:tcPr>
          <w:p w14:paraId="0D7F0BD6"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9</w:t>
            </w:r>
          </w:p>
        </w:tc>
        <w:tc>
          <w:tcPr>
            <w:tcW w:w="1735" w:type="dxa"/>
          </w:tcPr>
          <w:p w14:paraId="5DF5D394" w14:textId="77777777" w:rsidR="00970733" w:rsidRPr="00F4771B" w:rsidRDefault="00970733" w:rsidP="00970733">
            <w:pPr>
              <w:spacing w:before="60" w:after="60" w:line="240" w:lineRule="auto"/>
              <w:rPr>
                <w:rFonts w:asciiTheme="minorHAnsi" w:hAnsiTheme="minorHAnsi" w:cs="Arial"/>
                <w:sz w:val="22"/>
                <w:lang w:val="en-US"/>
              </w:rPr>
            </w:pPr>
            <w:r w:rsidRPr="00955F60">
              <w:rPr>
                <w:rFonts w:asciiTheme="minorHAnsi" w:hAnsiTheme="minorHAnsi" w:cs="Arial"/>
                <w:sz w:val="22"/>
                <w:lang w:val="en-US"/>
              </w:rPr>
              <w:t xml:space="preserve">To identify actions that support participation of adults with </w:t>
            </w:r>
            <w:r>
              <w:rPr>
                <w:rFonts w:asciiTheme="minorHAnsi" w:hAnsiTheme="minorHAnsi" w:cs="Arial"/>
                <w:sz w:val="22"/>
                <w:lang w:val="en-US"/>
              </w:rPr>
              <w:t>vision loss,</w:t>
            </w:r>
            <w:r w:rsidRPr="00955F60">
              <w:rPr>
                <w:rFonts w:asciiTheme="minorHAnsi" w:hAnsiTheme="minorHAnsi" w:cs="Arial"/>
                <w:sz w:val="22"/>
                <w:lang w:val="en-US"/>
              </w:rPr>
              <w:t xml:space="preserve"> </w:t>
            </w:r>
            <w:r>
              <w:rPr>
                <w:rFonts w:asciiTheme="minorHAnsi" w:hAnsiTheme="minorHAnsi" w:cs="Arial"/>
                <w:sz w:val="22"/>
                <w:lang w:val="en-US"/>
              </w:rPr>
              <w:t xml:space="preserve">and </w:t>
            </w:r>
            <w:r w:rsidRPr="00955F60">
              <w:rPr>
                <w:rFonts w:asciiTheme="minorHAnsi" w:hAnsiTheme="minorHAnsi" w:cs="Arial"/>
                <w:sz w:val="22"/>
                <w:lang w:val="en-US"/>
              </w:rPr>
              <w:t>to reflect on learnings, challenges and strategies that support inclusion and accessible research participation.</w:t>
            </w:r>
          </w:p>
        </w:tc>
        <w:tc>
          <w:tcPr>
            <w:tcW w:w="1594" w:type="dxa"/>
          </w:tcPr>
          <w:p w14:paraId="3AC2AF81"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Not stated</w:t>
            </w:r>
          </w:p>
        </w:tc>
        <w:tc>
          <w:tcPr>
            <w:tcW w:w="1470" w:type="dxa"/>
          </w:tcPr>
          <w:p w14:paraId="59D3C06D" w14:textId="77777777" w:rsidR="00970733" w:rsidRPr="008D0630"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Canada</w:t>
            </w:r>
          </w:p>
        </w:tc>
        <w:tc>
          <w:tcPr>
            <w:tcW w:w="1623" w:type="dxa"/>
          </w:tcPr>
          <w:p w14:paraId="2B8A0A43" w14:textId="77777777" w:rsidR="00970733" w:rsidRDefault="00970733" w:rsidP="00970733">
            <w:pPr>
              <w:spacing w:before="60" w:after="60" w:line="240" w:lineRule="auto"/>
              <w:rPr>
                <w:rFonts w:asciiTheme="minorHAnsi" w:hAnsiTheme="minorHAnsi" w:cs="Arial"/>
                <w:sz w:val="22"/>
                <w:lang w:val="en-US"/>
              </w:rPr>
            </w:pPr>
            <w:r>
              <w:rPr>
                <w:rFonts w:asciiTheme="minorHAnsi" w:hAnsiTheme="minorHAnsi" w:cs="Arial"/>
                <w:sz w:val="22"/>
                <w:lang w:val="en-US"/>
              </w:rPr>
              <w:t xml:space="preserve">Qualitative </w:t>
            </w:r>
          </w:p>
        </w:tc>
      </w:tr>
    </w:tbl>
    <w:p w14:paraId="65EF50AB" w14:textId="77777777" w:rsidR="00876A3B" w:rsidRPr="008D0630" w:rsidRDefault="00876A3B" w:rsidP="00876A3B">
      <w:pPr>
        <w:spacing w:before="60" w:after="60" w:line="240" w:lineRule="auto"/>
        <w:rPr>
          <w:rFonts w:asciiTheme="minorHAnsi" w:hAnsiTheme="minorHAnsi" w:cs="Arial"/>
          <w:sz w:val="22"/>
          <w:lang w:val="en-US"/>
        </w:rPr>
      </w:pPr>
    </w:p>
    <w:p w14:paraId="276435AC" w14:textId="77777777" w:rsidR="003A55CA" w:rsidRPr="008D0630" w:rsidRDefault="003A55CA" w:rsidP="003A55CA">
      <w:pPr>
        <w:spacing w:before="60" w:after="60" w:line="240" w:lineRule="auto"/>
        <w:rPr>
          <w:rFonts w:asciiTheme="minorHAnsi" w:hAnsiTheme="minorHAnsi" w:cs="Arial"/>
          <w:sz w:val="22"/>
          <w:lang w:val="en-US"/>
        </w:rPr>
      </w:pPr>
      <w:r>
        <w:rPr>
          <w:rFonts w:asciiTheme="minorHAnsi" w:hAnsiTheme="minorHAnsi" w:cs="Arial"/>
          <w:sz w:val="22"/>
          <w:lang w:val="en-US"/>
        </w:rPr>
        <w:t xml:space="preserve">Footnote: </w:t>
      </w:r>
      <w:r w:rsidRPr="00A028B2">
        <w:rPr>
          <w:rFonts w:asciiTheme="minorHAnsi" w:hAnsiTheme="minorHAnsi" w:cs="Arial"/>
          <w:sz w:val="22"/>
          <w:lang w:val="en-US"/>
        </w:rPr>
        <w:t>Footnote: Terminology reflects</w:t>
      </w:r>
      <w:r>
        <w:rPr>
          <w:rFonts w:asciiTheme="minorHAnsi" w:hAnsiTheme="minorHAnsi" w:cs="Arial"/>
          <w:sz w:val="22"/>
          <w:lang w:val="en-US"/>
        </w:rPr>
        <w:t xml:space="preserve"> language used</w:t>
      </w:r>
      <w:r w:rsidRPr="00A028B2">
        <w:rPr>
          <w:rFonts w:asciiTheme="minorHAnsi" w:hAnsiTheme="minorHAnsi" w:cs="Arial"/>
          <w:sz w:val="22"/>
          <w:lang w:val="en-US"/>
        </w:rPr>
        <w:t xml:space="preserve"> included studies. Lowercase “deaf” refers to hearing differences and uppercase “Deaf” to cultural identity; “d/Deaf” acknowledges both. Similarly, “deafblind” refers to sensory differences and “Deafblind” to cultural identity.</w:t>
      </w:r>
    </w:p>
    <w:p w14:paraId="129460C9" w14:textId="77777777" w:rsidR="003A55CA" w:rsidRDefault="003A55CA" w:rsidP="00BD1342">
      <w:pPr>
        <w:spacing w:before="60" w:after="60" w:line="240" w:lineRule="auto"/>
        <w:rPr>
          <w:rFonts w:ascii="Aptos" w:eastAsia="Aptos" w:hAnsi="Aptos" w:cs="Arial"/>
          <w:kern w:val="2"/>
          <w:sz w:val="22"/>
          <w:szCs w:val="22"/>
          <w:lang w:eastAsia="en-US"/>
        </w:rPr>
      </w:pPr>
    </w:p>
    <w:p w14:paraId="750CDC6D" w14:textId="2F865ADE" w:rsidR="00061A04" w:rsidRPr="00BD1342" w:rsidRDefault="00BD1342" w:rsidP="00061A04">
      <w:pPr>
        <w:spacing w:before="60" w:after="60" w:line="240" w:lineRule="auto"/>
        <w:rPr>
          <w:rFonts w:ascii="Aptos" w:eastAsia="Aptos" w:hAnsi="Aptos" w:cs="Arial"/>
          <w:kern w:val="2"/>
          <w:sz w:val="22"/>
          <w:szCs w:val="22"/>
          <w:lang w:val="en-GB" w:eastAsia="en-US"/>
        </w:rPr>
      </w:pPr>
      <w:r w:rsidRPr="00BD1342">
        <w:rPr>
          <w:rFonts w:ascii="Aptos" w:eastAsia="Aptos" w:hAnsi="Aptos" w:cs="Arial"/>
          <w:b/>
          <w:bCs/>
          <w:kern w:val="2"/>
          <w:sz w:val="22"/>
          <w:szCs w:val="22"/>
          <w:highlight w:val="yellow"/>
          <w:lang w:val="en-GB" w:eastAsia="en-US"/>
        </w:rPr>
        <w:t>Table 2A. Article summary for those pertaining to people who are d/Deaf or hard of hearing (n = 7)</w:t>
      </w:r>
      <w:r w:rsidRPr="00BD1342">
        <w:rPr>
          <w:rFonts w:ascii="Aptos" w:eastAsia="Aptos" w:hAnsi="Aptos" w:cs="Arial"/>
          <w:b/>
          <w:bCs/>
          <w:kern w:val="2"/>
          <w:sz w:val="22"/>
          <w:szCs w:val="22"/>
          <w:lang w:val="en-GB" w:eastAsia="en-US"/>
        </w:rPr>
        <w:t xml:space="preserve"> </w:t>
      </w:r>
      <w:r w:rsidR="00061A04" w:rsidRPr="00BD1342">
        <w:rPr>
          <w:rFonts w:ascii="Aptos" w:eastAsia="Aptos" w:hAnsi="Aptos" w:cs="Arial"/>
          <w:kern w:val="2"/>
          <w:sz w:val="22"/>
          <w:szCs w:val="22"/>
          <w:lang w:val="en-GB" w:eastAsia="en-US"/>
        </w:rPr>
        <w:t>(see Footnote regarding language).</w:t>
      </w:r>
    </w:p>
    <w:tbl>
      <w:tblPr>
        <w:tblStyle w:val="TableGrid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012"/>
        <w:gridCol w:w="2073"/>
        <w:gridCol w:w="2063"/>
        <w:gridCol w:w="2127"/>
        <w:gridCol w:w="2365"/>
        <w:gridCol w:w="2290"/>
      </w:tblGrid>
      <w:tr w:rsidR="00BD1342" w:rsidRPr="00BD1342" w14:paraId="78B6B6C2" w14:textId="77777777" w:rsidTr="00E774CA">
        <w:trPr>
          <w:tblHeader/>
        </w:trPr>
        <w:tc>
          <w:tcPr>
            <w:tcW w:w="2012" w:type="dxa"/>
          </w:tcPr>
          <w:p w14:paraId="196A0BC0" w14:textId="77777777" w:rsidR="00BD1342" w:rsidRPr="00BD1342" w:rsidRDefault="00BD1342" w:rsidP="00BD1342">
            <w:pPr>
              <w:spacing w:before="60" w:after="60" w:line="240" w:lineRule="auto"/>
              <w:rPr>
                <w:rFonts w:ascii="Aptos" w:eastAsia="Aptos" w:hAnsi="Aptos" w:cs="Arial"/>
                <w:b/>
                <w:bCs/>
                <w:sz w:val="22"/>
                <w:szCs w:val="22"/>
                <w:lang w:val="en-GB"/>
              </w:rPr>
            </w:pPr>
            <w:r w:rsidRPr="00BD1342">
              <w:rPr>
                <w:rFonts w:ascii="Aptos" w:eastAsia="Aptos" w:hAnsi="Aptos" w:cs="Arial"/>
                <w:b/>
                <w:bCs/>
                <w:sz w:val="22"/>
                <w:szCs w:val="22"/>
                <w:lang w:val="en-GB"/>
              </w:rPr>
              <w:t xml:space="preserve">Authors and year </w:t>
            </w:r>
          </w:p>
        </w:tc>
        <w:tc>
          <w:tcPr>
            <w:tcW w:w="2073" w:type="dxa"/>
          </w:tcPr>
          <w:p w14:paraId="14519168" w14:textId="77777777" w:rsidR="00BD1342" w:rsidRPr="00BD1342" w:rsidRDefault="00BD1342" w:rsidP="00BD1342">
            <w:pPr>
              <w:spacing w:before="60" w:after="60" w:line="240" w:lineRule="auto"/>
              <w:rPr>
                <w:rFonts w:ascii="Aptos" w:eastAsia="Aptos" w:hAnsi="Aptos" w:cs="Arial"/>
                <w:b/>
                <w:bCs/>
                <w:sz w:val="22"/>
                <w:szCs w:val="22"/>
                <w:lang w:val="en-GB"/>
              </w:rPr>
            </w:pPr>
            <w:r w:rsidRPr="00BD1342">
              <w:rPr>
                <w:rFonts w:ascii="Aptos" w:eastAsia="Aptos" w:hAnsi="Aptos" w:cs="Arial"/>
                <w:b/>
                <w:bCs/>
                <w:sz w:val="22"/>
                <w:szCs w:val="22"/>
                <w:lang w:val="en-GB"/>
              </w:rPr>
              <w:t>Sampling strategy</w:t>
            </w:r>
          </w:p>
        </w:tc>
        <w:tc>
          <w:tcPr>
            <w:tcW w:w="2063" w:type="dxa"/>
          </w:tcPr>
          <w:p w14:paraId="1843EF4B" w14:textId="77777777" w:rsidR="00BD1342" w:rsidRPr="00BD1342" w:rsidRDefault="00BD1342" w:rsidP="00BD1342">
            <w:pPr>
              <w:spacing w:before="60" w:after="60" w:line="240" w:lineRule="auto"/>
              <w:rPr>
                <w:rFonts w:ascii="Aptos" w:eastAsia="Aptos" w:hAnsi="Aptos" w:cs="Arial"/>
                <w:b/>
                <w:bCs/>
                <w:sz w:val="22"/>
                <w:szCs w:val="22"/>
                <w:lang w:val="en-GB"/>
              </w:rPr>
            </w:pPr>
            <w:r w:rsidRPr="00BD1342">
              <w:rPr>
                <w:rFonts w:ascii="Aptos" w:eastAsia="Aptos" w:hAnsi="Aptos" w:cs="Arial"/>
                <w:b/>
                <w:bCs/>
                <w:sz w:val="22"/>
                <w:szCs w:val="22"/>
                <w:lang w:val="en-GB"/>
              </w:rPr>
              <w:t>Data collection methods (N)</w:t>
            </w:r>
          </w:p>
        </w:tc>
        <w:tc>
          <w:tcPr>
            <w:tcW w:w="2127" w:type="dxa"/>
          </w:tcPr>
          <w:p w14:paraId="013FBFAE" w14:textId="77777777" w:rsidR="00BD1342" w:rsidRPr="00BD1342" w:rsidRDefault="00BD1342" w:rsidP="00BD1342">
            <w:pPr>
              <w:spacing w:before="60" w:after="60" w:line="240" w:lineRule="auto"/>
              <w:rPr>
                <w:rFonts w:ascii="Aptos" w:eastAsia="Aptos" w:hAnsi="Aptos" w:cs="Arial"/>
                <w:b/>
                <w:bCs/>
                <w:sz w:val="22"/>
                <w:szCs w:val="22"/>
                <w:lang w:val="en-GB"/>
              </w:rPr>
            </w:pPr>
            <w:r w:rsidRPr="00BD1342">
              <w:rPr>
                <w:rFonts w:ascii="Aptos" w:eastAsia="Aptos" w:hAnsi="Aptos" w:cs="Arial"/>
                <w:b/>
                <w:bCs/>
                <w:sz w:val="22"/>
                <w:szCs w:val="22"/>
                <w:lang w:val="en-GB"/>
              </w:rPr>
              <w:t xml:space="preserve">Accessible informed consent procedure detailed </w:t>
            </w:r>
          </w:p>
        </w:tc>
        <w:tc>
          <w:tcPr>
            <w:tcW w:w="2365" w:type="dxa"/>
          </w:tcPr>
          <w:p w14:paraId="05A928DE" w14:textId="77777777" w:rsidR="00BD1342" w:rsidRPr="00BD1342" w:rsidRDefault="00BD1342" w:rsidP="00BD1342">
            <w:pPr>
              <w:spacing w:before="60" w:after="60" w:line="240" w:lineRule="auto"/>
              <w:rPr>
                <w:rFonts w:ascii="Aptos" w:eastAsia="Aptos" w:hAnsi="Aptos" w:cs="Arial"/>
                <w:b/>
                <w:bCs/>
                <w:sz w:val="22"/>
                <w:szCs w:val="22"/>
                <w:lang w:val="en-GB"/>
              </w:rPr>
            </w:pPr>
            <w:r w:rsidRPr="00BD1342">
              <w:rPr>
                <w:rFonts w:ascii="Aptos" w:eastAsia="Aptos" w:hAnsi="Aptos" w:cs="Arial"/>
                <w:b/>
                <w:bCs/>
                <w:sz w:val="22"/>
                <w:szCs w:val="22"/>
                <w:lang w:val="en-GB"/>
              </w:rPr>
              <w:t>Main findings</w:t>
            </w:r>
          </w:p>
        </w:tc>
        <w:tc>
          <w:tcPr>
            <w:tcW w:w="2290" w:type="dxa"/>
          </w:tcPr>
          <w:p w14:paraId="45917808" w14:textId="77777777" w:rsidR="00BD1342" w:rsidRPr="00BD1342" w:rsidRDefault="00BD1342" w:rsidP="00BD1342">
            <w:pPr>
              <w:spacing w:before="60" w:after="60" w:line="240" w:lineRule="auto"/>
              <w:rPr>
                <w:rFonts w:ascii="Aptos" w:eastAsia="Aptos" w:hAnsi="Aptos" w:cs="Arial"/>
                <w:b/>
                <w:bCs/>
                <w:sz w:val="22"/>
                <w:szCs w:val="22"/>
                <w:lang w:val="en-GB"/>
              </w:rPr>
            </w:pPr>
            <w:r w:rsidRPr="00BD1342">
              <w:rPr>
                <w:rFonts w:ascii="Aptos" w:eastAsia="Aptos" w:hAnsi="Aptos" w:cs="Arial"/>
                <w:b/>
                <w:bCs/>
                <w:sz w:val="22"/>
                <w:szCs w:val="22"/>
                <w:lang w:val="en-GB"/>
              </w:rPr>
              <w:t>Recommendations</w:t>
            </w:r>
          </w:p>
        </w:tc>
      </w:tr>
      <w:tr w:rsidR="00BD1342" w:rsidRPr="00BD1342" w14:paraId="1CC2B6EC" w14:textId="77777777" w:rsidTr="00E774CA">
        <w:tc>
          <w:tcPr>
            <w:tcW w:w="2012" w:type="dxa"/>
          </w:tcPr>
          <w:p w14:paraId="148E27FD"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Singleton et al. 2014</w:t>
            </w:r>
          </w:p>
          <w:p w14:paraId="2CA0E3F6" w14:textId="77777777" w:rsidR="00BD1342" w:rsidRPr="00BD1342" w:rsidRDefault="00BD1342" w:rsidP="00BD1342">
            <w:pPr>
              <w:spacing w:before="60" w:after="60" w:line="240" w:lineRule="auto"/>
              <w:rPr>
                <w:rFonts w:ascii="Aptos" w:eastAsia="Aptos" w:hAnsi="Aptos" w:cs="Arial"/>
                <w:b/>
                <w:bCs/>
                <w:sz w:val="22"/>
                <w:szCs w:val="22"/>
                <w:lang w:val="en-GB"/>
              </w:rPr>
            </w:pPr>
          </w:p>
        </w:tc>
        <w:tc>
          <w:tcPr>
            <w:tcW w:w="2073" w:type="dxa"/>
          </w:tcPr>
          <w:p w14:paraId="3356200C"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Convenience through one University institute (Gallaudet University, noted for serving Deaf or hard of hearing students).</w:t>
            </w:r>
          </w:p>
        </w:tc>
        <w:tc>
          <w:tcPr>
            <w:tcW w:w="2063" w:type="dxa"/>
          </w:tcPr>
          <w:p w14:paraId="0A18315F"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Focus groups with 3 stakeholder groups (5 Deaf young adults, 6 researchers, 5 community experts). </w:t>
            </w:r>
          </w:p>
        </w:tc>
        <w:tc>
          <w:tcPr>
            <w:tcW w:w="2127" w:type="dxa"/>
          </w:tcPr>
          <w:p w14:paraId="5D2AC826"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Information provided in advance, then at the focus group 10 minutes informed consent video in ASL shown, followed by verbal explanation in ASL with relevant page shown on a large screen (allowing simultaneous viewing of researcher signing, and the PICF section being described). Followed by time to read the PICF and final clarifying Q&amp;A before consent obtained (written, verbal - not clear).</w:t>
            </w:r>
          </w:p>
        </w:tc>
        <w:tc>
          <w:tcPr>
            <w:tcW w:w="2365" w:type="dxa"/>
          </w:tcPr>
          <w:p w14:paraId="4D4D5450"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Main results: Theme 1. Disempowerment: consent forms are often hard to understand; the process can be improved greatly with fluent sign language researcher/interpreter and a video explaining the consent process in sign language (the example for the study) (5/5 students). </w:t>
            </w:r>
          </w:p>
          <w:p w14:paraId="2AA85A3B"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Theme 2. Distrust: inability to run research effectively if the researcher is unable to sign efficiently and/or use inaccessible consent procedures; signifies a lack of cultural competence (11/11 researchers/experts).</w:t>
            </w:r>
          </w:p>
          <w:p w14:paraId="179A42C2" w14:textId="77777777" w:rsidR="00BD1342" w:rsidRPr="00BD1342" w:rsidRDefault="00BD1342" w:rsidP="00BD1342">
            <w:pPr>
              <w:spacing w:before="60" w:after="60" w:line="240" w:lineRule="auto"/>
              <w:rPr>
                <w:rFonts w:ascii="Aptos" w:eastAsia="Aptos" w:hAnsi="Aptos" w:cs="Arial"/>
                <w:sz w:val="22"/>
                <w:szCs w:val="22"/>
                <w:lang w:val="en-GB"/>
              </w:rPr>
            </w:pPr>
          </w:p>
        </w:tc>
        <w:tc>
          <w:tcPr>
            <w:tcW w:w="2290" w:type="dxa"/>
          </w:tcPr>
          <w:p w14:paraId="13FFBE3B"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4 Recommendations: </w:t>
            </w:r>
          </w:p>
          <w:p w14:paraId="5531A849"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1. Incorporate cultural and linguistic awareness; consult with experts in the research planning stages. </w:t>
            </w:r>
          </w:p>
          <w:p w14:paraId="6D11E3F7"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2. Researchers must consider whether recruitment, informed consent processes, follow up processes are culturally/ linguistically accessible in both signed and written language; both formats needed across each research stage. </w:t>
            </w:r>
          </w:p>
          <w:p w14:paraId="626366B3"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3. Make individual results and study results in available in accessible formats i.e., summary in sign language. </w:t>
            </w:r>
          </w:p>
          <w:p w14:paraId="1A67D77E"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4. Reframe Deaf and hearing collaboration models i.e., involve Deaf people as collaborators in the research.</w:t>
            </w:r>
          </w:p>
        </w:tc>
      </w:tr>
      <w:tr w:rsidR="00BD1342" w:rsidRPr="00BD1342" w14:paraId="12C3A07C" w14:textId="77777777" w:rsidTr="00E774CA">
        <w:tc>
          <w:tcPr>
            <w:tcW w:w="2012" w:type="dxa"/>
          </w:tcPr>
          <w:p w14:paraId="74F02D69"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Spehar et al. 2016</w:t>
            </w:r>
          </w:p>
          <w:p w14:paraId="3D0AFF65" w14:textId="77777777" w:rsidR="00BD1342" w:rsidRPr="00BD1342" w:rsidRDefault="00BD1342" w:rsidP="00BD1342">
            <w:pPr>
              <w:spacing w:before="60" w:after="60" w:line="240" w:lineRule="auto"/>
              <w:rPr>
                <w:rFonts w:ascii="Aptos" w:eastAsia="Aptos" w:hAnsi="Aptos" w:cs="Arial"/>
                <w:b/>
                <w:bCs/>
                <w:sz w:val="22"/>
                <w:szCs w:val="22"/>
                <w:lang w:val="en-GB"/>
              </w:rPr>
            </w:pPr>
          </w:p>
        </w:tc>
        <w:tc>
          <w:tcPr>
            <w:tcW w:w="2073" w:type="dxa"/>
          </w:tcPr>
          <w:p w14:paraId="69F48F0B"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Convenience through research institute (Washington University) natural history study.</w:t>
            </w:r>
          </w:p>
        </w:tc>
        <w:tc>
          <w:tcPr>
            <w:tcW w:w="2063" w:type="dxa"/>
          </w:tcPr>
          <w:p w14:paraId="66209287"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Survey (12 adults with hearing loss/hearing aid users, 7 professional staff)</w:t>
            </w:r>
          </w:p>
        </w:tc>
        <w:tc>
          <w:tcPr>
            <w:tcW w:w="2127" w:type="dxa"/>
          </w:tcPr>
          <w:p w14:paraId="0AA236B6"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Not described (just written informed consent to participate is stated).</w:t>
            </w:r>
          </w:p>
        </w:tc>
        <w:tc>
          <w:tcPr>
            <w:tcW w:w="2365" w:type="dxa"/>
          </w:tcPr>
          <w:p w14:paraId="0C19ACA7"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1. Captioning aids recognition of information but not recall. </w:t>
            </w:r>
          </w:p>
          <w:p w14:paraId="50012F8D"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2. Captioning needs to be used effectively by researcher for it to be useful by participants. </w:t>
            </w:r>
          </w:p>
          <w:p w14:paraId="588A067E"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3. Caption transcript useful to both consultant and participant as reference/record of consent discussion.</w:t>
            </w:r>
          </w:p>
        </w:tc>
        <w:tc>
          <w:tcPr>
            <w:tcW w:w="2290" w:type="dxa"/>
          </w:tcPr>
          <w:p w14:paraId="4227FA8C" w14:textId="77777777" w:rsidR="00BD1342" w:rsidRPr="00BD1342" w:rsidRDefault="00BD1342" w:rsidP="00BD1342">
            <w:pPr>
              <w:spacing w:before="60" w:after="60" w:line="240" w:lineRule="auto"/>
              <w:rPr>
                <w:rFonts w:ascii="Aptos" w:eastAsia="Aptos" w:hAnsi="Aptos" w:cs="Arial"/>
                <w:b/>
                <w:bCs/>
                <w:sz w:val="22"/>
                <w:szCs w:val="22"/>
                <w:lang w:val="en-GB"/>
              </w:rPr>
            </w:pPr>
            <w:r w:rsidRPr="00BD1342">
              <w:rPr>
                <w:rFonts w:ascii="Aptos" w:eastAsia="Aptos" w:hAnsi="Aptos" w:cs="Arial"/>
                <w:sz w:val="22"/>
                <w:szCs w:val="22"/>
                <w:lang w:val="en-GB"/>
              </w:rPr>
              <w:t>Conclusion: real-time captioning of consent discussion may support communications during informed consent processes between researcher and participant; broader application to situations where there are hearing or language needs.</w:t>
            </w:r>
          </w:p>
        </w:tc>
      </w:tr>
      <w:tr w:rsidR="00BD1342" w:rsidRPr="00BD1342" w14:paraId="1C80F757" w14:textId="77777777" w:rsidTr="00E774CA">
        <w:tc>
          <w:tcPr>
            <w:tcW w:w="2012" w:type="dxa"/>
          </w:tcPr>
          <w:p w14:paraId="75F05D6E"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Young et al. 2016</w:t>
            </w:r>
          </w:p>
        </w:tc>
        <w:tc>
          <w:tcPr>
            <w:tcW w:w="2073" w:type="dxa"/>
          </w:tcPr>
          <w:p w14:paraId="213D417E" w14:textId="77777777" w:rsidR="00BD1342" w:rsidRPr="00BD1342" w:rsidRDefault="00BD1342" w:rsidP="00BD1342">
            <w:pPr>
              <w:spacing w:before="60" w:after="60" w:line="240" w:lineRule="auto"/>
              <w:rPr>
                <w:rFonts w:ascii="Aptos" w:eastAsia="Aptos" w:hAnsi="Aptos" w:cs="Arial"/>
                <w:b/>
                <w:bCs/>
                <w:sz w:val="22"/>
                <w:szCs w:val="22"/>
                <w:lang w:val="en-GB"/>
              </w:rPr>
            </w:pPr>
            <w:r w:rsidRPr="00BD1342">
              <w:rPr>
                <w:rFonts w:ascii="Aptos" w:eastAsia="Aptos" w:hAnsi="Aptos" w:cs="Arial"/>
                <w:sz w:val="22"/>
                <w:szCs w:val="22"/>
                <w:lang w:val="en-GB"/>
              </w:rPr>
              <w:t>Purposive (through Deaf community networks)</w:t>
            </w:r>
          </w:p>
        </w:tc>
        <w:tc>
          <w:tcPr>
            <w:tcW w:w="2063" w:type="dxa"/>
          </w:tcPr>
          <w:p w14:paraId="4606546B" w14:textId="13B27F77" w:rsidR="00BD1342" w:rsidRPr="00BD1342" w:rsidRDefault="00BD1342" w:rsidP="00BD1342">
            <w:pPr>
              <w:spacing w:before="60" w:after="60" w:line="240" w:lineRule="auto"/>
              <w:rPr>
                <w:rFonts w:ascii="Aptos" w:eastAsia="Aptos" w:hAnsi="Aptos" w:cs="Arial"/>
                <w:b/>
                <w:bCs/>
                <w:sz w:val="22"/>
                <w:szCs w:val="22"/>
                <w:lang w:val="en-GB"/>
              </w:rPr>
            </w:pPr>
            <w:r w:rsidRPr="00BD1342">
              <w:rPr>
                <w:rFonts w:ascii="Aptos" w:eastAsia="Aptos" w:hAnsi="Aptos" w:cs="Arial"/>
                <w:sz w:val="22"/>
                <w:szCs w:val="22"/>
                <w:lang w:val="en-GB"/>
              </w:rPr>
              <w:t xml:space="preserve">Focus Groups (19 Deaf or </w:t>
            </w:r>
            <w:proofErr w:type="spellStart"/>
            <w:r w:rsidR="003F5B8A">
              <w:rPr>
                <w:rFonts w:ascii="Aptos" w:eastAsia="Aptos" w:hAnsi="Aptos" w:cs="Arial"/>
                <w:sz w:val="22"/>
                <w:szCs w:val="22"/>
                <w:lang w:val="en-GB"/>
              </w:rPr>
              <w:t>HoH</w:t>
            </w:r>
            <w:proofErr w:type="spellEnd"/>
            <w:r w:rsidRPr="00BD1342">
              <w:rPr>
                <w:rFonts w:ascii="Aptos" w:eastAsia="Aptos" w:hAnsi="Aptos" w:cs="Arial"/>
                <w:sz w:val="22"/>
                <w:szCs w:val="22"/>
                <w:lang w:val="en-GB"/>
              </w:rPr>
              <w:t xml:space="preserve"> adults that use sign language, across 5 group meeting times. One focus group per person)</w:t>
            </w:r>
          </w:p>
        </w:tc>
        <w:tc>
          <w:tcPr>
            <w:tcW w:w="2127" w:type="dxa"/>
          </w:tcPr>
          <w:p w14:paraId="7BE157F2" w14:textId="77777777" w:rsidR="00BD1342" w:rsidRPr="00BD1342" w:rsidRDefault="00BD1342" w:rsidP="00BD1342">
            <w:pPr>
              <w:spacing w:before="60" w:after="60" w:line="240" w:lineRule="auto"/>
              <w:rPr>
                <w:rFonts w:ascii="Aptos" w:eastAsia="Aptos" w:hAnsi="Aptos" w:cs="Arial"/>
                <w:b/>
                <w:bCs/>
                <w:sz w:val="22"/>
                <w:szCs w:val="22"/>
                <w:lang w:val="en-GB"/>
              </w:rPr>
            </w:pPr>
            <w:r w:rsidRPr="00BD1342">
              <w:rPr>
                <w:rFonts w:ascii="Aptos" w:eastAsia="Aptos" w:hAnsi="Aptos" w:cs="Arial"/>
                <w:sz w:val="22"/>
                <w:szCs w:val="22"/>
                <w:lang w:val="en-GB"/>
              </w:rPr>
              <w:t>Participant Information Sheets made available in advance and were in British sign language as well as plain English. Supplement information also provided in sign language, face to face, and provided opportunity for Q&amp;A before focus group.</w:t>
            </w:r>
          </w:p>
        </w:tc>
        <w:tc>
          <w:tcPr>
            <w:tcW w:w="2365" w:type="dxa"/>
          </w:tcPr>
          <w:p w14:paraId="0EF7DF45"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1. Acceptance of accessible, printed materials (</w:t>
            </w:r>
            <w:proofErr w:type="gramStart"/>
            <w:r w:rsidRPr="00BD1342">
              <w:rPr>
                <w:rFonts w:ascii="Aptos" w:eastAsia="Aptos" w:hAnsi="Aptos" w:cs="Arial"/>
                <w:sz w:val="22"/>
                <w:szCs w:val="22"/>
                <w:lang w:val="en-GB"/>
              </w:rPr>
              <w:t>18 point</w:t>
            </w:r>
            <w:proofErr w:type="gramEnd"/>
            <w:r w:rsidRPr="00BD1342">
              <w:rPr>
                <w:rFonts w:ascii="Aptos" w:eastAsia="Aptos" w:hAnsi="Aptos" w:cs="Arial"/>
                <w:sz w:val="22"/>
                <w:szCs w:val="22"/>
                <w:lang w:val="en-GB"/>
              </w:rPr>
              <w:t xml:space="preserve"> font, one font type, no italics or caps, </w:t>
            </w:r>
            <w:proofErr w:type="gramStart"/>
            <w:r w:rsidRPr="00BD1342">
              <w:rPr>
                <w:rFonts w:ascii="Aptos" w:eastAsia="Aptos" w:hAnsi="Aptos" w:cs="Arial"/>
                <w:sz w:val="22"/>
                <w:szCs w:val="22"/>
                <w:lang w:val="en-GB"/>
              </w:rPr>
              <w:t>1.5 line</w:t>
            </w:r>
            <w:proofErr w:type="gramEnd"/>
            <w:r w:rsidRPr="00BD1342">
              <w:rPr>
                <w:rFonts w:ascii="Aptos" w:eastAsia="Aptos" w:hAnsi="Aptos" w:cs="Arial"/>
                <w:sz w:val="22"/>
                <w:szCs w:val="22"/>
                <w:lang w:val="en-GB"/>
              </w:rPr>
              <w:t xml:space="preserve"> spacing, logo in header only, no other graphics, off white and low glare paper).</w:t>
            </w:r>
          </w:p>
          <w:p w14:paraId="563D1363"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2. Telephone interviews of survey questions preferred over self-administered survey i.e., trusted support. 3. Adapted communication approach with frequent progress reminders/check ins. </w:t>
            </w:r>
          </w:p>
          <w:p w14:paraId="001D9516" w14:textId="77777777" w:rsidR="00BD1342" w:rsidRPr="00BD1342" w:rsidRDefault="00BD1342" w:rsidP="00BD1342">
            <w:pPr>
              <w:spacing w:before="60" w:after="60" w:line="240" w:lineRule="auto"/>
              <w:rPr>
                <w:rFonts w:ascii="Aptos" w:eastAsia="Aptos" w:hAnsi="Aptos" w:cs="Arial"/>
                <w:b/>
                <w:bCs/>
                <w:sz w:val="22"/>
                <w:szCs w:val="22"/>
                <w:lang w:val="en-GB"/>
              </w:rPr>
            </w:pPr>
            <w:r w:rsidRPr="00BD1342">
              <w:rPr>
                <w:rFonts w:ascii="Aptos" w:eastAsia="Aptos" w:hAnsi="Aptos" w:cs="Arial"/>
                <w:sz w:val="22"/>
                <w:szCs w:val="22"/>
                <w:lang w:val="en-GB"/>
              </w:rPr>
              <w:t>4. Verify proxy consent i.e., allow individual consent and not proxy from family member.</w:t>
            </w:r>
          </w:p>
        </w:tc>
        <w:tc>
          <w:tcPr>
            <w:tcW w:w="2290" w:type="dxa"/>
          </w:tcPr>
          <w:p w14:paraId="09ED117C"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6 conditions for developing signed participant information sheets recommended so that they are acceptable, accessible and transmitted accurately and understood as intended. </w:t>
            </w:r>
          </w:p>
          <w:p w14:paraId="66C48721" w14:textId="77777777" w:rsidR="00BD1342" w:rsidRPr="00BD1342" w:rsidRDefault="00BD1342" w:rsidP="00BD1342">
            <w:pPr>
              <w:spacing w:before="60" w:after="60" w:line="240" w:lineRule="auto"/>
              <w:rPr>
                <w:rFonts w:ascii="Aptos" w:eastAsia="Aptos" w:hAnsi="Aptos" w:cs="Arial"/>
                <w:b/>
                <w:bCs/>
                <w:sz w:val="22"/>
                <w:szCs w:val="22"/>
                <w:lang w:val="en-GB"/>
              </w:rPr>
            </w:pPr>
            <w:r w:rsidRPr="00BD1342">
              <w:rPr>
                <w:rFonts w:ascii="Aptos" w:eastAsia="Aptos" w:hAnsi="Aptos" w:cs="Arial"/>
                <w:sz w:val="22"/>
                <w:szCs w:val="22"/>
                <w:lang w:val="en-GB"/>
              </w:rPr>
              <w:t>Short summary: 1. Community involvement. 2. Consistent verb directionality. 3. Consider bilingual influences on comprehension. 4. Orientation axis. 5. Understand barriers to information access. 6. Avoid jargon.</w:t>
            </w:r>
          </w:p>
        </w:tc>
      </w:tr>
      <w:tr w:rsidR="00BD1342" w:rsidRPr="00BD1342" w14:paraId="0B0C923E" w14:textId="77777777" w:rsidTr="00E774CA">
        <w:tc>
          <w:tcPr>
            <w:tcW w:w="2012" w:type="dxa"/>
          </w:tcPr>
          <w:p w14:paraId="1A9D808D"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Anderson et al. 2020</w:t>
            </w:r>
          </w:p>
          <w:p w14:paraId="275960B0" w14:textId="77777777" w:rsidR="00BD1342" w:rsidRPr="00BD1342" w:rsidRDefault="00BD1342" w:rsidP="00BD1342">
            <w:pPr>
              <w:spacing w:before="60" w:after="60" w:line="240" w:lineRule="auto"/>
              <w:rPr>
                <w:rFonts w:ascii="Aptos" w:eastAsia="Aptos" w:hAnsi="Aptos" w:cs="Arial"/>
                <w:b/>
                <w:bCs/>
                <w:sz w:val="22"/>
                <w:szCs w:val="22"/>
                <w:lang w:val="en-GB"/>
              </w:rPr>
            </w:pPr>
          </w:p>
        </w:tc>
        <w:tc>
          <w:tcPr>
            <w:tcW w:w="2073" w:type="dxa"/>
          </w:tcPr>
          <w:p w14:paraId="2ADF1402"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Phase 1/2: purposive through community support organizations; Phase 3: convenience across university institute.</w:t>
            </w:r>
          </w:p>
        </w:tc>
        <w:tc>
          <w:tcPr>
            <w:tcW w:w="2063" w:type="dxa"/>
          </w:tcPr>
          <w:p w14:paraId="4B0F62EC" w14:textId="068D439B" w:rsidR="00BD1342" w:rsidRPr="00BD1342" w:rsidRDefault="00BD1342" w:rsidP="00BD1342">
            <w:pPr>
              <w:spacing w:before="60" w:after="60" w:line="240" w:lineRule="auto"/>
              <w:rPr>
                <w:rFonts w:ascii="Aptos" w:eastAsia="Aptos" w:hAnsi="Aptos" w:cs="Arial"/>
                <w:color w:val="000000"/>
                <w:sz w:val="22"/>
                <w:szCs w:val="22"/>
                <w:lang w:val="en-GB"/>
              </w:rPr>
            </w:pPr>
            <w:r w:rsidRPr="00BD1342">
              <w:rPr>
                <w:rFonts w:ascii="Aptos" w:eastAsia="Aptos" w:hAnsi="Aptos" w:cs="Arial"/>
                <w:color w:val="000000"/>
                <w:sz w:val="22"/>
                <w:szCs w:val="22"/>
                <w:lang w:val="en-GB"/>
              </w:rPr>
              <w:t xml:space="preserve">Deaf community members (identified as Deaf or </w:t>
            </w:r>
            <w:proofErr w:type="spellStart"/>
            <w:r w:rsidR="0064701E">
              <w:rPr>
                <w:rFonts w:ascii="Aptos" w:eastAsia="Aptos" w:hAnsi="Aptos" w:cs="Arial"/>
                <w:color w:val="000000"/>
                <w:sz w:val="22"/>
                <w:szCs w:val="22"/>
                <w:lang w:val="en-GB"/>
              </w:rPr>
              <w:t>HoH</w:t>
            </w:r>
            <w:proofErr w:type="spellEnd"/>
            <w:r w:rsidR="0064701E">
              <w:rPr>
                <w:rFonts w:ascii="Aptos" w:eastAsia="Aptos" w:hAnsi="Aptos" w:cs="Arial"/>
                <w:color w:val="000000"/>
                <w:sz w:val="22"/>
                <w:szCs w:val="22"/>
                <w:lang w:val="en-GB"/>
              </w:rPr>
              <w:t>)</w:t>
            </w:r>
            <w:r w:rsidRPr="00BD1342">
              <w:rPr>
                <w:rFonts w:ascii="Aptos" w:eastAsia="Aptos" w:hAnsi="Aptos" w:cs="Arial"/>
                <w:color w:val="000000"/>
                <w:sz w:val="22"/>
                <w:szCs w:val="22"/>
                <w:lang w:val="en-GB"/>
              </w:rPr>
              <w:t xml:space="preserve"> participated in Phase 1, 3 x Deaf community forums (22 adults); Phase 2, 4 x focus groups (18 adults); Phase 3, 1 x pilot test (5 students, mixed methods data).</w:t>
            </w:r>
          </w:p>
          <w:p w14:paraId="2852DB8A" w14:textId="77777777" w:rsidR="00BD1342" w:rsidRPr="00BD1342" w:rsidRDefault="00BD1342" w:rsidP="00BD1342">
            <w:pPr>
              <w:spacing w:before="60" w:after="60" w:line="240" w:lineRule="auto"/>
              <w:rPr>
                <w:rFonts w:ascii="Aptos" w:eastAsia="Aptos" w:hAnsi="Aptos" w:cs="Arial"/>
                <w:sz w:val="22"/>
                <w:szCs w:val="22"/>
                <w:lang w:val="en-GB"/>
              </w:rPr>
            </w:pPr>
          </w:p>
        </w:tc>
        <w:tc>
          <w:tcPr>
            <w:tcW w:w="2127" w:type="dxa"/>
          </w:tcPr>
          <w:p w14:paraId="0DBD14E1"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Study fact sheet presented in English and sign language; time given with research staff fluent in sign language to explain study requirements and ask clarifying questions. Written informed consent waivered. Verbal consent provided.</w:t>
            </w:r>
          </w:p>
        </w:tc>
        <w:tc>
          <w:tcPr>
            <w:tcW w:w="2365" w:type="dxa"/>
          </w:tcPr>
          <w:p w14:paraId="29D6A3C0" w14:textId="77777777" w:rsidR="00BD1342" w:rsidRPr="00BD1342" w:rsidRDefault="00BD1342" w:rsidP="00BD1342">
            <w:pPr>
              <w:spacing w:before="60" w:after="60" w:line="240" w:lineRule="auto"/>
              <w:rPr>
                <w:rFonts w:ascii="Aptos" w:eastAsia="Aptos" w:hAnsi="Aptos" w:cs="Arial"/>
                <w:b/>
                <w:bCs/>
                <w:sz w:val="22"/>
                <w:szCs w:val="22"/>
                <w:lang w:val="en-GB"/>
              </w:rPr>
            </w:pPr>
            <w:r w:rsidRPr="00BD1342">
              <w:rPr>
                <w:rFonts w:ascii="Aptos" w:eastAsia="Aptos" w:hAnsi="Aptos" w:cs="Arial"/>
                <w:sz w:val="22"/>
                <w:szCs w:val="22"/>
                <w:lang w:val="en-GB"/>
              </w:rPr>
              <w:t>Phase 1: 4 themes: communication access not provided, mistrust, lack of feedback from study results, lack of direct benefit. Phase 2: 5 themes: need for system change, information for researchers, improvements to informed consent form, information for interpreter training, deaf-focused research). Phase 3: Feasibility outcomes included recruitment, retention, engagement, satisfaction, intervention fidelity, feasibility of assessment procedures.</w:t>
            </w:r>
          </w:p>
        </w:tc>
        <w:tc>
          <w:tcPr>
            <w:tcW w:w="2290" w:type="dxa"/>
          </w:tcPr>
          <w:p w14:paraId="2A54D671"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1. Improve consent forms; with simple written language and in sign language (two formats).</w:t>
            </w:r>
          </w:p>
          <w:p w14:paraId="13B370CA"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2. Consider new consent strategies, and consent options. </w:t>
            </w:r>
          </w:p>
          <w:p w14:paraId="65FAB0A6"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3. Use communication aides i.e., 'cultural brokers', accurate translation of PICF into sign language. </w:t>
            </w:r>
          </w:p>
          <w:p w14:paraId="5D57C424"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4. Use of qualified interpreters fluent in sign and translating medical terminology.</w:t>
            </w:r>
          </w:p>
        </w:tc>
      </w:tr>
      <w:tr w:rsidR="00BD1342" w:rsidRPr="00BD1342" w14:paraId="482550E9" w14:textId="77777777" w:rsidTr="00E774CA">
        <w:tc>
          <w:tcPr>
            <w:tcW w:w="2012" w:type="dxa"/>
          </w:tcPr>
          <w:p w14:paraId="7C52FCFB"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Unger et al. 2021</w:t>
            </w:r>
          </w:p>
        </w:tc>
        <w:tc>
          <w:tcPr>
            <w:tcW w:w="2073" w:type="dxa"/>
          </w:tcPr>
          <w:p w14:paraId="16C02CB0"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Convenience </w:t>
            </w:r>
          </w:p>
        </w:tc>
        <w:tc>
          <w:tcPr>
            <w:tcW w:w="2063" w:type="dxa"/>
          </w:tcPr>
          <w:p w14:paraId="657F0705"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Focus group (x 3 groups of 3-4 Deaf sign language users, N = 10)</w:t>
            </w:r>
          </w:p>
        </w:tc>
        <w:tc>
          <w:tcPr>
            <w:tcW w:w="2127" w:type="dxa"/>
          </w:tcPr>
          <w:p w14:paraId="553D35AA"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All documents were made available to the participants (i.e., email messages, consent forms, questionnaires, and video conference instructions) were prepared beforehand both in written German and as recorded German sign language videos.</w:t>
            </w:r>
          </w:p>
        </w:tc>
        <w:tc>
          <w:tcPr>
            <w:tcW w:w="2365" w:type="dxa"/>
          </w:tcPr>
          <w:p w14:paraId="28409559"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1. Researchers need to acquire sign language knowledge before research begins. 2. Researchers need to be able to communicate with people in their preferred language i.e., a member of the research team that is a native sign language user. 3. Accessible information needs to go beyond the consent </w:t>
            </w:r>
            <w:proofErr w:type="gramStart"/>
            <w:r w:rsidRPr="00BD1342">
              <w:rPr>
                <w:rFonts w:ascii="Aptos" w:eastAsia="Aptos" w:hAnsi="Aptos" w:cs="Arial"/>
                <w:sz w:val="22"/>
                <w:szCs w:val="22"/>
                <w:lang w:val="en-GB"/>
              </w:rPr>
              <w:t>form, and</w:t>
            </w:r>
            <w:proofErr w:type="gramEnd"/>
            <w:r w:rsidRPr="00BD1342">
              <w:rPr>
                <w:rFonts w:ascii="Aptos" w:eastAsia="Aptos" w:hAnsi="Aptos" w:cs="Arial"/>
                <w:sz w:val="22"/>
                <w:szCs w:val="22"/>
                <w:lang w:val="en-GB"/>
              </w:rPr>
              <w:t xml:space="preserve"> include emails and questionnaires. 4. Attentional capabilities of signers should be considered noting increased visual demand to receive &amp; exchange information in sign language (i.e., time limits on interactions). 5. Define transcription and translation strategies early, ensure budget and adequate time allowances.</w:t>
            </w:r>
          </w:p>
        </w:tc>
        <w:tc>
          <w:tcPr>
            <w:tcW w:w="2290" w:type="dxa"/>
          </w:tcPr>
          <w:p w14:paraId="50AE41F6"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1. All communication materials and contacts in sign language; person's respective first language. 2. Future research to develop validated tools to be able to display sign language i.e., videos. 3. Shift in the mindset of researchers to understand, accept and support integration of sign language into research processes; normalize integration of language accessibility into practice.</w:t>
            </w:r>
          </w:p>
        </w:tc>
      </w:tr>
      <w:tr w:rsidR="00BD1342" w:rsidRPr="00BD1342" w14:paraId="64167FDB" w14:textId="77777777" w:rsidTr="00E774CA">
        <w:tc>
          <w:tcPr>
            <w:tcW w:w="2012" w:type="dxa"/>
          </w:tcPr>
          <w:p w14:paraId="5A9DCC9D"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Garofalo et al. 2022</w:t>
            </w:r>
          </w:p>
          <w:p w14:paraId="72BF984C" w14:textId="77777777" w:rsidR="00BD1342" w:rsidRPr="00BD1342" w:rsidRDefault="00BD1342" w:rsidP="00BD1342">
            <w:pPr>
              <w:spacing w:before="60" w:after="60" w:line="240" w:lineRule="auto"/>
              <w:rPr>
                <w:rFonts w:ascii="Aptos" w:eastAsia="Aptos" w:hAnsi="Aptos" w:cs="Arial"/>
                <w:b/>
                <w:bCs/>
                <w:sz w:val="22"/>
                <w:szCs w:val="22"/>
                <w:lang w:val="en-GB"/>
              </w:rPr>
            </w:pPr>
          </w:p>
        </w:tc>
        <w:tc>
          <w:tcPr>
            <w:tcW w:w="2073" w:type="dxa"/>
          </w:tcPr>
          <w:p w14:paraId="3B427FB7" w14:textId="77777777" w:rsidR="00BD1342" w:rsidRPr="00BD1342" w:rsidRDefault="00BD1342" w:rsidP="00BD1342">
            <w:pPr>
              <w:spacing w:before="60" w:after="60" w:line="240" w:lineRule="auto"/>
              <w:rPr>
                <w:rFonts w:ascii="Aptos" w:eastAsia="Aptos" w:hAnsi="Aptos" w:cs="Arial"/>
                <w:b/>
                <w:bCs/>
                <w:sz w:val="22"/>
                <w:szCs w:val="22"/>
                <w:lang w:val="en-GB"/>
              </w:rPr>
            </w:pPr>
            <w:r w:rsidRPr="00BD1342">
              <w:rPr>
                <w:rFonts w:ascii="Aptos" w:eastAsia="Aptos" w:hAnsi="Aptos" w:cs="Arial"/>
                <w:sz w:val="22"/>
                <w:szCs w:val="22"/>
                <w:lang w:val="en-GB"/>
              </w:rPr>
              <w:t>Purposive</w:t>
            </w:r>
          </w:p>
        </w:tc>
        <w:tc>
          <w:tcPr>
            <w:tcW w:w="2063" w:type="dxa"/>
          </w:tcPr>
          <w:p w14:paraId="012A5CBC" w14:textId="77777777" w:rsidR="00BD1342" w:rsidRPr="00BD1342" w:rsidRDefault="00BD1342" w:rsidP="00BD1342">
            <w:pPr>
              <w:spacing w:before="60" w:after="60" w:line="240" w:lineRule="auto"/>
              <w:rPr>
                <w:rFonts w:ascii="Aptos" w:eastAsia="Aptos" w:hAnsi="Aptos" w:cs="Arial"/>
                <w:b/>
                <w:bCs/>
                <w:sz w:val="22"/>
                <w:szCs w:val="22"/>
                <w:lang w:val="en-GB"/>
              </w:rPr>
            </w:pPr>
            <w:r w:rsidRPr="00BD1342">
              <w:rPr>
                <w:rFonts w:ascii="Aptos" w:eastAsia="Aptos" w:hAnsi="Aptos" w:cs="Arial"/>
                <w:sz w:val="22"/>
                <w:szCs w:val="22"/>
                <w:lang w:val="en-GB"/>
              </w:rPr>
              <w:t xml:space="preserve">Survey, mainly </w:t>
            </w:r>
            <w:proofErr w:type="gramStart"/>
            <w:r w:rsidRPr="00BD1342">
              <w:rPr>
                <w:rFonts w:ascii="Aptos" w:eastAsia="Aptos" w:hAnsi="Aptos" w:cs="Arial"/>
                <w:sz w:val="22"/>
                <w:szCs w:val="22"/>
                <w:lang w:val="en-GB"/>
              </w:rPr>
              <w:t>closed-items</w:t>
            </w:r>
            <w:proofErr w:type="gramEnd"/>
            <w:r w:rsidRPr="00BD1342">
              <w:rPr>
                <w:rFonts w:ascii="Aptos" w:eastAsia="Aptos" w:hAnsi="Aptos" w:cs="Arial"/>
                <w:sz w:val="22"/>
                <w:szCs w:val="22"/>
                <w:lang w:val="en-GB"/>
              </w:rPr>
              <w:t xml:space="preserve"> (N = 267 Deaf/</w:t>
            </w:r>
            <w:proofErr w:type="spellStart"/>
            <w:r w:rsidRPr="00BD1342">
              <w:rPr>
                <w:rFonts w:ascii="Aptos" w:eastAsia="Aptos" w:hAnsi="Aptos" w:cs="Arial"/>
                <w:sz w:val="22"/>
                <w:szCs w:val="22"/>
                <w:lang w:val="en-GB"/>
              </w:rPr>
              <w:t>HoH</w:t>
            </w:r>
            <w:proofErr w:type="spellEnd"/>
            <w:r w:rsidRPr="00BD1342">
              <w:rPr>
                <w:rFonts w:ascii="Aptos" w:eastAsia="Aptos" w:hAnsi="Aptos" w:cs="Arial"/>
                <w:sz w:val="22"/>
                <w:szCs w:val="22"/>
                <w:lang w:val="en-GB"/>
              </w:rPr>
              <w:t xml:space="preserve"> adults)</w:t>
            </w:r>
          </w:p>
        </w:tc>
        <w:tc>
          <w:tcPr>
            <w:tcW w:w="2127" w:type="dxa"/>
          </w:tcPr>
          <w:p w14:paraId="51345630" w14:textId="77777777" w:rsidR="00BD1342" w:rsidRPr="00BD1342" w:rsidRDefault="00BD1342" w:rsidP="00BD1342">
            <w:pPr>
              <w:spacing w:before="60" w:after="60" w:line="240" w:lineRule="auto"/>
              <w:rPr>
                <w:rFonts w:ascii="Aptos" w:eastAsia="Aptos" w:hAnsi="Aptos" w:cs="Arial"/>
                <w:b/>
                <w:bCs/>
                <w:sz w:val="22"/>
                <w:szCs w:val="22"/>
                <w:lang w:val="en-GB"/>
              </w:rPr>
            </w:pPr>
            <w:r w:rsidRPr="00BD1342">
              <w:rPr>
                <w:rFonts w:ascii="Aptos" w:eastAsia="Aptos" w:hAnsi="Aptos" w:cs="Arial"/>
                <w:sz w:val="22"/>
                <w:szCs w:val="22"/>
                <w:lang w:val="en-GB"/>
              </w:rPr>
              <w:t>Study invitation materials shared via national disability support centres; participants were referred to online survey and answered two questions to confirm understanding before starting the survey, thus implied consent. No description of whether information and consent materials were in accessible formats.</w:t>
            </w:r>
          </w:p>
        </w:tc>
        <w:tc>
          <w:tcPr>
            <w:tcW w:w="2365" w:type="dxa"/>
          </w:tcPr>
          <w:p w14:paraId="5FDB4AA0"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1. 41.2% (110/237) agreed that information about medical research is not accessible to them (based on past experiences).</w:t>
            </w:r>
          </w:p>
          <w:p w14:paraId="7ACAC399"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2. 51.3% (144/237) agreed they would be more likely to participate in research if information was communicated in more 'understandable ways'.</w:t>
            </w:r>
          </w:p>
          <w:p w14:paraId="4FBEBEDD"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3. 51.3% (137/237) reported that communication with staff/professionals is difficult. </w:t>
            </w:r>
          </w:p>
          <w:p w14:paraId="63AD0EE8"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4. 85% (202/237) agree that participants with lived experience should be research partners.</w:t>
            </w:r>
          </w:p>
        </w:tc>
        <w:tc>
          <w:tcPr>
            <w:tcW w:w="2290" w:type="dxa"/>
          </w:tcPr>
          <w:p w14:paraId="0121C655"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1. Study materials need to be provided in disability-accessible formats i.e., plain and simple language, and translated into sign language video. </w:t>
            </w:r>
          </w:p>
          <w:p w14:paraId="07C25B83"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2. Need for sign language interpreters to be present, or use of remote interpretation services (e.g. VRI) and other apps if not available.</w:t>
            </w:r>
          </w:p>
          <w:p w14:paraId="463D5FA5"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3. Collaborate with community leaders in design and delivery of consent materials and processes to reduce barriers.</w:t>
            </w:r>
          </w:p>
          <w:p w14:paraId="3B8B24FB" w14:textId="77777777" w:rsidR="00BD1342" w:rsidRPr="00BD1342" w:rsidRDefault="00BD1342" w:rsidP="00BD1342">
            <w:pPr>
              <w:spacing w:before="60" w:after="60" w:line="240" w:lineRule="auto"/>
              <w:rPr>
                <w:rFonts w:ascii="Aptos" w:eastAsia="Aptos" w:hAnsi="Aptos" w:cs="Arial"/>
                <w:b/>
                <w:bCs/>
                <w:sz w:val="22"/>
                <w:szCs w:val="22"/>
                <w:lang w:val="en-GB"/>
              </w:rPr>
            </w:pPr>
          </w:p>
        </w:tc>
      </w:tr>
      <w:tr w:rsidR="00BD1342" w:rsidRPr="00BD1342" w14:paraId="229B906B" w14:textId="77777777" w:rsidTr="00E774CA">
        <w:tc>
          <w:tcPr>
            <w:tcW w:w="2012" w:type="dxa"/>
          </w:tcPr>
          <w:p w14:paraId="4E33EA1F" w14:textId="77777777" w:rsidR="00BD1342" w:rsidRPr="00BD1342" w:rsidRDefault="00BD1342" w:rsidP="00BD1342">
            <w:pPr>
              <w:spacing w:before="60" w:after="60" w:line="240" w:lineRule="auto"/>
              <w:rPr>
                <w:rFonts w:ascii="Aptos" w:eastAsia="Aptos" w:hAnsi="Aptos" w:cs="Arial"/>
                <w:sz w:val="22"/>
                <w:szCs w:val="22"/>
                <w:lang w:val="en-GB"/>
              </w:rPr>
            </w:pPr>
            <w:proofErr w:type="spellStart"/>
            <w:r w:rsidRPr="00BD1342">
              <w:rPr>
                <w:rFonts w:ascii="Aptos" w:eastAsia="Aptos" w:hAnsi="Aptos" w:cs="Arial"/>
                <w:sz w:val="22"/>
                <w:szCs w:val="22"/>
                <w:lang w:val="en-GB"/>
              </w:rPr>
              <w:t>Kushalnagar</w:t>
            </w:r>
            <w:proofErr w:type="spellEnd"/>
            <w:r w:rsidRPr="00BD1342">
              <w:rPr>
                <w:rFonts w:ascii="Aptos" w:eastAsia="Aptos" w:hAnsi="Aptos" w:cs="Arial"/>
                <w:sz w:val="22"/>
                <w:szCs w:val="22"/>
                <w:lang w:val="en-GB"/>
              </w:rPr>
              <w:t xml:space="preserve"> et al. 2023</w:t>
            </w:r>
          </w:p>
        </w:tc>
        <w:tc>
          <w:tcPr>
            <w:tcW w:w="2073" w:type="dxa"/>
          </w:tcPr>
          <w:p w14:paraId="38A980E0" w14:textId="77777777" w:rsidR="00BD1342" w:rsidRPr="00BD1342" w:rsidRDefault="00BD1342" w:rsidP="00BD1342">
            <w:pPr>
              <w:spacing w:before="60" w:after="60" w:line="240" w:lineRule="auto"/>
              <w:rPr>
                <w:rFonts w:ascii="Aptos" w:eastAsia="Aptos" w:hAnsi="Aptos" w:cs="Arial"/>
                <w:b/>
                <w:bCs/>
                <w:sz w:val="22"/>
                <w:szCs w:val="22"/>
                <w:lang w:val="en-GB"/>
              </w:rPr>
            </w:pPr>
            <w:r w:rsidRPr="00BD1342">
              <w:rPr>
                <w:rFonts w:ascii="Aptos" w:eastAsia="Aptos" w:hAnsi="Aptos" w:cs="Arial"/>
                <w:sz w:val="22"/>
                <w:szCs w:val="22"/>
                <w:lang w:val="en-GB"/>
              </w:rPr>
              <w:t>Convenience</w:t>
            </w:r>
          </w:p>
        </w:tc>
        <w:tc>
          <w:tcPr>
            <w:tcW w:w="2063" w:type="dxa"/>
          </w:tcPr>
          <w:p w14:paraId="59C1F481"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Mixed methods research:</w:t>
            </w:r>
          </w:p>
          <w:p w14:paraId="00CDDE9F"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Survey, open and closed items (</w:t>
            </w:r>
            <w:proofErr w:type="gramStart"/>
            <w:r w:rsidRPr="00BD1342">
              <w:rPr>
                <w:rFonts w:ascii="Aptos" w:eastAsia="Aptos" w:hAnsi="Aptos" w:cs="Arial"/>
                <w:sz w:val="22"/>
                <w:szCs w:val="22"/>
                <w:lang w:val="en-GB"/>
              </w:rPr>
              <w:t>120  Deaf</w:t>
            </w:r>
            <w:proofErr w:type="gramEnd"/>
            <w:r w:rsidRPr="00BD1342">
              <w:rPr>
                <w:rFonts w:ascii="Aptos" w:eastAsia="Aptos" w:hAnsi="Aptos" w:cs="Arial"/>
                <w:sz w:val="22"/>
                <w:szCs w:val="22"/>
                <w:lang w:val="en-GB"/>
              </w:rPr>
              <w:t xml:space="preserve"> sign language users/adults),</w:t>
            </w:r>
          </w:p>
          <w:p w14:paraId="74E2207F" w14:textId="77777777" w:rsidR="00BD1342" w:rsidRPr="00BD1342" w:rsidRDefault="00BD1342" w:rsidP="00BD1342">
            <w:pPr>
              <w:spacing w:before="60" w:after="60" w:line="240" w:lineRule="auto"/>
              <w:rPr>
                <w:rFonts w:ascii="Aptos" w:eastAsia="Aptos" w:hAnsi="Aptos" w:cs="Arial"/>
                <w:b/>
                <w:bCs/>
                <w:sz w:val="22"/>
                <w:szCs w:val="22"/>
                <w:lang w:val="en-GB"/>
              </w:rPr>
            </w:pPr>
            <w:r w:rsidRPr="00BD1342">
              <w:rPr>
                <w:rFonts w:ascii="Aptos" w:eastAsia="Aptos" w:hAnsi="Aptos" w:cs="Arial"/>
                <w:sz w:val="22"/>
                <w:szCs w:val="22"/>
                <w:lang w:val="en-GB"/>
              </w:rPr>
              <w:t>Focus group x 1 (subset = 20)</w:t>
            </w:r>
          </w:p>
        </w:tc>
        <w:tc>
          <w:tcPr>
            <w:tcW w:w="2127" w:type="dxa"/>
          </w:tcPr>
          <w:p w14:paraId="2205A4D2" w14:textId="77777777" w:rsidR="00BD1342" w:rsidRPr="00BD1342" w:rsidRDefault="00BD1342" w:rsidP="00BD1342">
            <w:pPr>
              <w:spacing w:before="60" w:after="60" w:line="240" w:lineRule="auto"/>
              <w:rPr>
                <w:rFonts w:ascii="Aptos" w:eastAsia="Aptos" w:hAnsi="Aptos" w:cs="Arial"/>
                <w:b/>
                <w:bCs/>
                <w:sz w:val="22"/>
                <w:szCs w:val="22"/>
                <w:lang w:val="en-GB"/>
              </w:rPr>
            </w:pPr>
            <w:r w:rsidRPr="00BD1342">
              <w:rPr>
                <w:rFonts w:ascii="Aptos" w:eastAsia="Aptos" w:hAnsi="Aptos" w:cs="Arial"/>
                <w:sz w:val="22"/>
                <w:szCs w:val="22"/>
                <w:lang w:val="en-GB"/>
              </w:rPr>
              <w:t>Not described.</w:t>
            </w:r>
          </w:p>
        </w:tc>
        <w:tc>
          <w:tcPr>
            <w:tcW w:w="2365" w:type="dxa"/>
          </w:tcPr>
          <w:p w14:paraId="4D90D4E5"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1. Clinical trial information that is not provided in sign language increases the likelihood that deaf people will miss opportunities to learn about clinical trial participation.</w:t>
            </w:r>
          </w:p>
          <w:p w14:paraId="48442F68"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2. Participant preference that the informed consent process be delivered directly by a deaf person fluent in sign language.</w:t>
            </w:r>
          </w:p>
          <w:p w14:paraId="7ADB76EE"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3. Repeat check ins of consent and willingness to participate needed; provision of multiple opportunities to provide and withdraw consent.</w:t>
            </w:r>
          </w:p>
          <w:p w14:paraId="506E739C" w14:textId="77777777" w:rsidR="00BD1342" w:rsidRPr="00BD1342" w:rsidRDefault="00BD1342" w:rsidP="00BD1342">
            <w:pPr>
              <w:spacing w:before="60" w:after="60" w:line="240" w:lineRule="auto"/>
              <w:rPr>
                <w:rFonts w:ascii="Aptos" w:eastAsia="Aptos" w:hAnsi="Aptos" w:cs="Arial"/>
                <w:b/>
                <w:bCs/>
                <w:sz w:val="22"/>
                <w:szCs w:val="22"/>
                <w:lang w:val="en-GB"/>
              </w:rPr>
            </w:pPr>
          </w:p>
        </w:tc>
        <w:tc>
          <w:tcPr>
            <w:tcW w:w="2290" w:type="dxa"/>
          </w:tcPr>
          <w:p w14:paraId="3855F7EC"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1. Develop an adequate budget to support hiring deaf co-investigators in addition to interpreters or obtaining other access accommodations throughout the various stages of the clinical trial.</w:t>
            </w:r>
          </w:p>
          <w:p w14:paraId="5514E0D0"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2. Identify local interpreting agencies for hiring interpreters.</w:t>
            </w:r>
          </w:p>
          <w:p w14:paraId="1D0181BA"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3. Train team members on how to effectively and respectfully interact with deaf people, both in person and via telephone relay services.</w:t>
            </w:r>
          </w:p>
          <w:p w14:paraId="5DDA8134" w14:textId="77777777" w:rsidR="00BD1342" w:rsidRPr="00BD1342" w:rsidRDefault="00BD1342" w:rsidP="00BD1342">
            <w:pPr>
              <w:spacing w:before="60" w:after="60" w:line="240" w:lineRule="auto"/>
              <w:rPr>
                <w:rFonts w:ascii="Aptos" w:eastAsia="Aptos" w:hAnsi="Aptos" w:cs="Arial"/>
                <w:b/>
                <w:bCs/>
                <w:sz w:val="22"/>
                <w:szCs w:val="22"/>
                <w:lang w:val="en-GB"/>
              </w:rPr>
            </w:pPr>
            <w:r w:rsidRPr="00BD1342">
              <w:rPr>
                <w:rFonts w:ascii="Aptos" w:eastAsia="Aptos" w:hAnsi="Aptos" w:cs="Arial"/>
                <w:sz w:val="22"/>
                <w:szCs w:val="22"/>
                <w:lang w:val="en-GB"/>
              </w:rPr>
              <w:t>4. Build flexibility into the research protocol to allow for the successful implementation of accommodations (e.g. lengthening the duration of the informed consent session to allow sufficient time for research staff to elaborate on each section of the informed consent form, to use the teach back method, and to permit interpreter clarifications).</w:t>
            </w:r>
          </w:p>
        </w:tc>
      </w:tr>
    </w:tbl>
    <w:p w14:paraId="4E46D796" w14:textId="77777777" w:rsidR="00E774CA" w:rsidRPr="00BD1342" w:rsidRDefault="00E774CA" w:rsidP="00E774CA">
      <w:pPr>
        <w:spacing w:before="60" w:after="60" w:line="240" w:lineRule="auto"/>
        <w:rPr>
          <w:rFonts w:ascii="Aptos" w:eastAsia="Aptos" w:hAnsi="Aptos" w:cs="Arial"/>
          <w:kern w:val="2"/>
          <w:sz w:val="22"/>
          <w:szCs w:val="22"/>
          <w:lang w:val="en-GB" w:eastAsia="en-US"/>
        </w:rPr>
      </w:pPr>
      <w:r w:rsidRPr="00BD1342">
        <w:rPr>
          <w:rFonts w:ascii="Aptos" w:eastAsia="Aptos" w:hAnsi="Aptos" w:cs="Arial"/>
          <w:kern w:val="2"/>
          <w:sz w:val="22"/>
          <w:szCs w:val="22"/>
          <w:lang w:val="en-GB" w:eastAsia="en-US"/>
        </w:rPr>
        <w:t xml:space="preserve">Footnote: ASL, American Sign Language; </w:t>
      </w:r>
      <w:proofErr w:type="spellStart"/>
      <w:r w:rsidRPr="00BD1342">
        <w:rPr>
          <w:rFonts w:ascii="Aptos" w:eastAsia="Aptos" w:hAnsi="Aptos" w:cs="Arial"/>
          <w:kern w:val="2"/>
          <w:sz w:val="22"/>
          <w:szCs w:val="22"/>
          <w:lang w:val="en-GB" w:eastAsia="en-US"/>
        </w:rPr>
        <w:t>HoH</w:t>
      </w:r>
      <w:proofErr w:type="spellEnd"/>
      <w:r w:rsidRPr="00BD1342">
        <w:rPr>
          <w:rFonts w:ascii="Aptos" w:eastAsia="Aptos" w:hAnsi="Aptos" w:cs="Arial"/>
          <w:kern w:val="2"/>
          <w:sz w:val="22"/>
          <w:szCs w:val="22"/>
          <w:lang w:val="en-GB" w:eastAsia="en-US"/>
        </w:rPr>
        <w:t>, hard of hearing; PICF, participant information and consent form; Q&amp;A, question and answer. Terminology reflects that used in included studies. Lowercase “deaf” refers to hearing differences and uppercase “Deaf” to cultural identity; “d/Deaf” acknowledges both.</w:t>
      </w:r>
    </w:p>
    <w:p w14:paraId="228059B1" w14:textId="77777777" w:rsidR="00BD1342" w:rsidRPr="00BD1342" w:rsidRDefault="00BD1342" w:rsidP="00BD1342">
      <w:pPr>
        <w:spacing w:before="60" w:after="60" w:line="240" w:lineRule="auto"/>
        <w:rPr>
          <w:rFonts w:ascii="Aptos" w:eastAsia="Aptos" w:hAnsi="Aptos" w:cs="Arial"/>
          <w:kern w:val="2"/>
          <w:sz w:val="22"/>
          <w:szCs w:val="22"/>
          <w:lang w:val="en-GB" w:eastAsia="en-US"/>
        </w:rPr>
      </w:pPr>
    </w:p>
    <w:p w14:paraId="30FD9CCA" w14:textId="77777777" w:rsidR="00BD1342" w:rsidRPr="00BD1342" w:rsidRDefault="00BD1342" w:rsidP="00BD1342">
      <w:pPr>
        <w:spacing w:before="60" w:after="60" w:line="240" w:lineRule="auto"/>
        <w:rPr>
          <w:rFonts w:ascii="Aptos" w:eastAsia="Aptos" w:hAnsi="Aptos" w:cs="Arial"/>
          <w:b/>
          <w:bCs/>
          <w:kern w:val="2"/>
          <w:sz w:val="22"/>
          <w:szCs w:val="22"/>
          <w:lang w:val="en-GB" w:eastAsia="en-US"/>
        </w:rPr>
      </w:pPr>
      <w:r w:rsidRPr="00BD1342">
        <w:rPr>
          <w:rFonts w:ascii="Aptos" w:eastAsia="Aptos" w:hAnsi="Aptos" w:cs="Arial"/>
          <w:b/>
          <w:bCs/>
          <w:kern w:val="2"/>
          <w:sz w:val="22"/>
          <w:szCs w:val="22"/>
          <w:highlight w:val="cyan"/>
          <w:lang w:val="en-GB" w:eastAsia="en-US"/>
        </w:rPr>
        <w:t>Table 2B.  Article summary for those pertaining to people who have vision difference/impairment (n = 7)</w:t>
      </w:r>
    </w:p>
    <w:tbl>
      <w:tblPr>
        <w:tblStyle w:val="TableGrid3"/>
        <w:tblW w:w="14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336"/>
        <w:gridCol w:w="2337"/>
        <w:gridCol w:w="2336"/>
        <w:gridCol w:w="2337"/>
        <w:gridCol w:w="2336"/>
        <w:gridCol w:w="2337"/>
      </w:tblGrid>
      <w:tr w:rsidR="00BD1342" w:rsidRPr="00BD1342" w14:paraId="380BED8E" w14:textId="77777777" w:rsidTr="00E774CA">
        <w:trPr>
          <w:tblHeader/>
        </w:trPr>
        <w:tc>
          <w:tcPr>
            <w:tcW w:w="2336" w:type="dxa"/>
          </w:tcPr>
          <w:p w14:paraId="0C74C1C9"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b/>
                <w:bCs/>
                <w:sz w:val="22"/>
                <w:szCs w:val="22"/>
                <w:lang w:val="en-GB"/>
              </w:rPr>
              <w:t xml:space="preserve">Authors and year </w:t>
            </w:r>
          </w:p>
        </w:tc>
        <w:tc>
          <w:tcPr>
            <w:tcW w:w="2337" w:type="dxa"/>
          </w:tcPr>
          <w:p w14:paraId="763AEBAC"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b/>
                <w:bCs/>
                <w:sz w:val="22"/>
                <w:szCs w:val="22"/>
                <w:lang w:val="en-GB"/>
              </w:rPr>
              <w:t>Sampling strategy</w:t>
            </w:r>
          </w:p>
        </w:tc>
        <w:tc>
          <w:tcPr>
            <w:tcW w:w="2336" w:type="dxa"/>
          </w:tcPr>
          <w:p w14:paraId="4D701367"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b/>
                <w:bCs/>
                <w:sz w:val="22"/>
                <w:szCs w:val="22"/>
                <w:lang w:val="en-GB"/>
              </w:rPr>
              <w:t>Data collection methods (N)</w:t>
            </w:r>
          </w:p>
        </w:tc>
        <w:tc>
          <w:tcPr>
            <w:tcW w:w="2337" w:type="dxa"/>
          </w:tcPr>
          <w:p w14:paraId="5FA5423D"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b/>
                <w:bCs/>
                <w:sz w:val="22"/>
                <w:szCs w:val="22"/>
                <w:lang w:val="en-GB"/>
              </w:rPr>
              <w:t xml:space="preserve">Accessible informed consent procedure detailed </w:t>
            </w:r>
          </w:p>
        </w:tc>
        <w:tc>
          <w:tcPr>
            <w:tcW w:w="2336" w:type="dxa"/>
          </w:tcPr>
          <w:p w14:paraId="61EB069C"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b/>
                <w:bCs/>
                <w:sz w:val="22"/>
                <w:szCs w:val="22"/>
                <w:lang w:val="en-GB"/>
              </w:rPr>
              <w:t>Main findings</w:t>
            </w:r>
          </w:p>
        </w:tc>
        <w:tc>
          <w:tcPr>
            <w:tcW w:w="2337" w:type="dxa"/>
          </w:tcPr>
          <w:p w14:paraId="10697075"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b/>
                <w:bCs/>
                <w:sz w:val="22"/>
                <w:szCs w:val="22"/>
                <w:lang w:val="en-GB"/>
              </w:rPr>
              <w:t>Recommendations</w:t>
            </w:r>
          </w:p>
        </w:tc>
      </w:tr>
      <w:tr w:rsidR="00BD1342" w:rsidRPr="00BD1342" w14:paraId="41C92F80" w14:textId="77777777" w:rsidTr="00E774CA">
        <w:tc>
          <w:tcPr>
            <w:tcW w:w="2336" w:type="dxa"/>
          </w:tcPr>
          <w:p w14:paraId="3CA52B24"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Williams 2002</w:t>
            </w:r>
          </w:p>
          <w:p w14:paraId="2774D3A7" w14:textId="77777777" w:rsidR="00BD1342" w:rsidRPr="00BD1342" w:rsidRDefault="00BD1342" w:rsidP="00BD1342">
            <w:pPr>
              <w:spacing w:before="60" w:after="60" w:line="240" w:lineRule="auto"/>
              <w:rPr>
                <w:rFonts w:ascii="Aptos" w:eastAsia="Aptos" w:hAnsi="Aptos" w:cs="Arial"/>
                <w:sz w:val="22"/>
                <w:szCs w:val="22"/>
                <w:lang w:val="en-GB"/>
              </w:rPr>
            </w:pPr>
          </w:p>
        </w:tc>
        <w:tc>
          <w:tcPr>
            <w:tcW w:w="2337" w:type="dxa"/>
          </w:tcPr>
          <w:p w14:paraId="47E883C3"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Purposive, Convenience</w:t>
            </w:r>
          </w:p>
        </w:tc>
        <w:tc>
          <w:tcPr>
            <w:tcW w:w="2336" w:type="dxa"/>
          </w:tcPr>
          <w:p w14:paraId="3E139E5D"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Focus group x 1</w:t>
            </w:r>
          </w:p>
          <w:p w14:paraId="11AF3D6A"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(16 adults with vision impairment)</w:t>
            </w:r>
          </w:p>
        </w:tc>
        <w:tc>
          <w:tcPr>
            <w:tcW w:w="2337" w:type="dxa"/>
          </w:tcPr>
          <w:p w14:paraId="0AD3C701"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Each participant received an audiotaped narration of the project, contact details of the PI and an informed consent statement. Required written consent on consent form statement after listening to audiotape and before participating in focus group.</w:t>
            </w:r>
          </w:p>
        </w:tc>
        <w:tc>
          <w:tcPr>
            <w:tcW w:w="2336" w:type="dxa"/>
          </w:tcPr>
          <w:p w14:paraId="79862D61"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Ranked list of issues concerning accessibility: lack of current diabetes information in accessible format (23 points); lack of health professionals understanding around meeting communication and information needs (22 points); lack of reasonable accommodation across print information and getting to sites (11 points); stigma experienced (7 points); lack of understanding around the grief of vision impairment (6 points).</w:t>
            </w:r>
          </w:p>
        </w:tc>
        <w:tc>
          <w:tcPr>
            <w:tcW w:w="2337" w:type="dxa"/>
          </w:tcPr>
          <w:p w14:paraId="2B87CF09"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1. All information must be available to people who are vision impaired and blind. </w:t>
            </w:r>
          </w:p>
          <w:p w14:paraId="141E5C39" w14:textId="4CC42D9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2. Staff need comprehensive training and orientation around working appropriately with people w</w:t>
            </w:r>
            <w:r w:rsidR="007D69E1">
              <w:rPr>
                <w:rFonts w:ascii="Aptos" w:eastAsia="Aptos" w:hAnsi="Aptos" w:cs="Arial"/>
                <w:sz w:val="22"/>
                <w:szCs w:val="22"/>
                <w:lang w:val="en-GB"/>
              </w:rPr>
              <w:t>ho have</w:t>
            </w:r>
            <w:r w:rsidRPr="00BD1342">
              <w:rPr>
                <w:rFonts w:ascii="Aptos" w:eastAsia="Aptos" w:hAnsi="Aptos" w:cs="Arial"/>
                <w:sz w:val="22"/>
                <w:szCs w:val="22"/>
                <w:lang w:val="en-GB"/>
              </w:rPr>
              <w:t xml:space="preserve"> vision impairment &amp; blindness (i.e., courtesies and interaction principles) 3. Access to a full range of adaptive &amp; assistive technology at the visit. </w:t>
            </w:r>
          </w:p>
          <w:p w14:paraId="6BC4A2EA"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4. Provide opportunities to meet other people in the program (e.g., research participants meeting others in the trial to share experiences and build social connection). </w:t>
            </w:r>
          </w:p>
          <w:p w14:paraId="71AACB4A"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5. Access to resources to assist travel to the site. </w:t>
            </w:r>
          </w:p>
          <w:p w14:paraId="4045BF75"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6. Individual counselling offered as part of the program/research study. </w:t>
            </w:r>
          </w:p>
          <w:p w14:paraId="4ECEC2CB"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7. All materials to be accessible across all forms of communication. </w:t>
            </w:r>
          </w:p>
          <w:p w14:paraId="6D13D709"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8. Provision of accurate up to date information over time. </w:t>
            </w:r>
          </w:p>
          <w:p w14:paraId="2D2D66B0"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9. Staff to work with community agencies to foster referral system.</w:t>
            </w:r>
          </w:p>
        </w:tc>
      </w:tr>
      <w:tr w:rsidR="00BD1342" w:rsidRPr="00BD1342" w14:paraId="15CAE227" w14:textId="77777777" w:rsidTr="00E774CA">
        <w:tc>
          <w:tcPr>
            <w:tcW w:w="2336" w:type="dxa"/>
          </w:tcPr>
          <w:p w14:paraId="5E3018DD"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Ducket &amp; Pratt 2010</w:t>
            </w:r>
          </w:p>
          <w:p w14:paraId="7636CE8B" w14:textId="77777777" w:rsidR="00BD1342" w:rsidRPr="00BD1342" w:rsidRDefault="00BD1342" w:rsidP="00BD1342">
            <w:pPr>
              <w:spacing w:before="60" w:after="60" w:line="240" w:lineRule="auto"/>
              <w:rPr>
                <w:rFonts w:ascii="Aptos" w:eastAsia="Aptos" w:hAnsi="Aptos" w:cs="Arial"/>
                <w:sz w:val="22"/>
                <w:szCs w:val="22"/>
                <w:lang w:val="en-GB"/>
              </w:rPr>
            </w:pPr>
          </w:p>
        </w:tc>
        <w:tc>
          <w:tcPr>
            <w:tcW w:w="2337" w:type="dxa"/>
          </w:tcPr>
          <w:p w14:paraId="2F9E98CB"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Purposive, Key informant</w:t>
            </w:r>
          </w:p>
        </w:tc>
        <w:tc>
          <w:tcPr>
            <w:tcW w:w="2336" w:type="dxa"/>
          </w:tcPr>
          <w:p w14:paraId="7258659B"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Suspended structure interviews (37 adults with varying levels of vision impairment)</w:t>
            </w:r>
          </w:p>
        </w:tc>
        <w:tc>
          <w:tcPr>
            <w:tcW w:w="2337" w:type="dxa"/>
          </w:tcPr>
          <w:p w14:paraId="443EDE8C"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Invitation materials in large print. Recruitment through trusted organisations that have connection to community.</w:t>
            </w:r>
          </w:p>
          <w:p w14:paraId="3AEC88C9" w14:textId="77777777" w:rsidR="00BD1342" w:rsidRPr="00BD1342" w:rsidRDefault="00BD1342" w:rsidP="00BD1342">
            <w:pPr>
              <w:spacing w:before="60" w:after="60" w:line="240" w:lineRule="auto"/>
              <w:rPr>
                <w:rFonts w:ascii="Aptos" w:eastAsia="Aptos" w:hAnsi="Aptos" w:cs="Arial"/>
                <w:sz w:val="22"/>
                <w:szCs w:val="22"/>
                <w:lang w:val="en-GB"/>
              </w:rPr>
            </w:pPr>
          </w:p>
        </w:tc>
        <w:tc>
          <w:tcPr>
            <w:tcW w:w="2336" w:type="dxa"/>
          </w:tcPr>
          <w:p w14:paraId="1F485E63"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Themes: 1. Need to find ways to facilitate accessible exchange of information (e.g., audio 'talking book'). </w:t>
            </w:r>
          </w:p>
          <w:p w14:paraId="3659CDDD"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2. Need for open and transparent communication. 3. Researchers need to develop strategies to enable access of underrepresented group (i.e. those that don't disclose they have vision impacts, 'hidden' disability). </w:t>
            </w:r>
          </w:p>
          <w:p w14:paraId="2E3B5F38"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4. Researchers need to consider the implications of the research on a person's identity </w:t>
            </w:r>
            <w:proofErr w:type="gramStart"/>
            <w:r w:rsidRPr="00BD1342">
              <w:rPr>
                <w:rFonts w:ascii="Aptos" w:eastAsia="Aptos" w:hAnsi="Aptos" w:cs="Arial"/>
                <w:sz w:val="22"/>
                <w:szCs w:val="22"/>
                <w:lang w:val="en-GB"/>
              </w:rPr>
              <w:t>and  psychological</w:t>
            </w:r>
            <w:proofErr w:type="gramEnd"/>
            <w:r w:rsidRPr="00BD1342">
              <w:rPr>
                <w:rFonts w:ascii="Aptos" w:eastAsia="Aptos" w:hAnsi="Aptos" w:cs="Arial"/>
                <w:sz w:val="22"/>
                <w:szCs w:val="22"/>
                <w:lang w:val="en-GB"/>
              </w:rPr>
              <w:t xml:space="preserve"> impacts. </w:t>
            </w:r>
          </w:p>
          <w:p w14:paraId="36C0A935"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5. Materials need to be written in plain language. </w:t>
            </w:r>
          </w:p>
          <w:p w14:paraId="18282322"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6. Findings of research should be made available to community and in multiple formats e.g., audio, braille. </w:t>
            </w:r>
          </w:p>
          <w:p w14:paraId="56D890C3"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7. Reduce power imbalance in research settings is required.</w:t>
            </w:r>
          </w:p>
          <w:p w14:paraId="4D3678A2"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8. Research needs to be practical and meaningful to the needs of people with vision impairment.</w:t>
            </w:r>
          </w:p>
        </w:tc>
        <w:tc>
          <w:tcPr>
            <w:tcW w:w="2337" w:type="dxa"/>
          </w:tcPr>
          <w:p w14:paraId="3DBEB8FE"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1. Make use of alternative formats to exchange and share information (e.g., large print, audio and braille). </w:t>
            </w:r>
          </w:p>
          <w:p w14:paraId="58CBAF74"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2. Adopt accessible recruitment methods with community support groups. </w:t>
            </w:r>
          </w:p>
          <w:p w14:paraId="1916E469"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3. Engage with trusted supporters in processes including informed consent. </w:t>
            </w:r>
          </w:p>
          <w:p w14:paraId="1E455FDF"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4. Respect individuality, understand diversity within the community.</w:t>
            </w:r>
          </w:p>
          <w:p w14:paraId="667BABAD"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5. Enable empowerment and ensure research has practical focus. </w:t>
            </w:r>
          </w:p>
          <w:p w14:paraId="3175F87F" w14:textId="77777777" w:rsidR="00BD1342" w:rsidRPr="00BD1342" w:rsidRDefault="00BD1342" w:rsidP="00BD1342">
            <w:pPr>
              <w:spacing w:before="60" w:after="60" w:line="240" w:lineRule="auto"/>
              <w:rPr>
                <w:rFonts w:ascii="Aptos" w:eastAsia="Aptos" w:hAnsi="Aptos" w:cs="Arial"/>
                <w:sz w:val="22"/>
                <w:szCs w:val="22"/>
                <w:lang w:val="en-GB"/>
              </w:rPr>
            </w:pPr>
          </w:p>
        </w:tc>
      </w:tr>
      <w:tr w:rsidR="00BD1342" w:rsidRPr="00BD1342" w14:paraId="536DC738" w14:textId="77777777" w:rsidTr="00E774CA">
        <w:tc>
          <w:tcPr>
            <w:tcW w:w="2336" w:type="dxa"/>
          </w:tcPr>
          <w:p w14:paraId="2352A69F"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McCaughey et al. 2016</w:t>
            </w:r>
          </w:p>
          <w:p w14:paraId="34CEDAEF" w14:textId="77777777" w:rsidR="00BD1342" w:rsidRPr="00BD1342" w:rsidRDefault="00BD1342" w:rsidP="00BD1342">
            <w:pPr>
              <w:spacing w:before="60" w:after="60" w:line="240" w:lineRule="auto"/>
              <w:rPr>
                <w:rFonts w:ascii="Aptos" w:eastAsia="Aptos" w:hAnsi="Aptos" w:cs="Arial"/>
                <w:sz w:val="22"/>
                <w:szCs w:val="22"/>
                <w:lang w:val="en-GB"/>
              </w:rPr>
            </w:pPr>
          </w:p>
        </w:tc>
        <w:tc>
          <w:tcPr>
            <w:tcW w:w="2337" w:type="dxa"/>
          </w:tcPr>
          <w:p w14:paraId="7EB1CD00"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Purposive</w:t>
            </w:r>
          </w:p>
        </w:tc>
        <w:tc>
          <w:tcPr>
            <w:tcW w:w="2336" w:type="dxa"/>
          </w:tcPr>
          <w:p w14:paraId="06127276" w14:textId="7DF3FFCC"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Survey with closed items (147 adults with varied </w:t>
            </w:r>
            <w:r w:rsidR="004F137D">
              <w:rPr>
                <w:rFonts w:ascii="Aptos" w:eastAsia="Aptos" w:hAnsi="Aptos" w:cs="Arial"/>
                <w:sz w:val="22"/>
                <w:szCs w:val="22"/>
                <w:lang w:val="en-GB"/>
              </w:rPr>
              <w:t>eye diseases</w:t>
            </w:r>
            <w:r w:rsidRPr="00BD1342">
              <w:rPr>
                <w:rFonts w:ascii="Aptos" w:eastAsia="Aptos" w:hAnsi="Aptos" w:cs="Arial"/>
                <w:sz w:val="22"/>
                <w:szCs w:val="22"/>
                <w:lang w:val="en-GB"/>
              </w:rPr>
              <w:t>)</w:t>
            </w:r>
          </w:p>
        </w:tc>
        <w:tc>
          <w:tcPr>
            <w:tcW w:w="2337" w:type="dxa"/>
          </w:tcPr>
          <w:p w14:paraId="0CBDDD48"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Group 1: standard written information sheet + verbal. Group 2: standard + animation video. Group 3: standard + video + interactive quiz.</w:t>
            </w:r>
          </w:p>
        </w:tc>
        <w:tc>
          <w:tcPr>
            <w:tcW w:w="2336" w:type="dxa"/>
          </w:tcPr>
          <w:p w14:paraId="6ADEC069"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Understanding of 5 out of 14 concepts of research was greater in Group 3, compared to those in Groups 1 and 2 (all P &lt;0.001). No difference in groups for the remaining 9 items. Videos can help participants understand the more complex parts of the research.</w:t>
            </w:r>
          </w:p>
        </w:tc>
        <w:tc>
          <w:tcPr>
            <w:tcW w:w="2337" w:type="dxa"/>
          </w:tcPr>
          <w:p w14:paraId="7E887141"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Interactive consent approaches involving a video and interactive quiz, improve patient understanding of complex concepts (i.e., stem cell research), therefore could be considered to improve the informed consent process and help participants understand and be sufficiently informed.</w:t>
            </w:r>
          </w:p>
        </w:tc>
      </w:tr>
      <w:tr w:rsidR="00BD1342" w:rsidRPr="00BD1342" w14:paraId="695C3B42" w14:textId="77777777" w:rsidTr="00E774CA">
        <w:tc>
          <w:tcPr>
            <w:tcW w:w="2336" w:type="dxa"/>
          </w:tcPr>
          <w:p w14:paraId="35808BE2"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Trujillo Tanner et al. 2018</w:t>
            </w:r>
          </w:p>
          <w:p w14:paraId="1F831D18" w14:textId="77777777" w:rsidR="00BD1342" w:rsidRPr="00BD1342" w:rsidRDefault="00BD1342" w:rsidP="00BD1342">
            <w:pPr>
              <w:spacing w:before="60" w:after="60" w:line="240" w:lineRule="auto"/>
              <w:rPr>
                <w:rFonts w:ascii="Aptos" w:eastAsia="Aptos" w:hAnsi="Aptos" w:cs="Arial"/>
                <w:sz w:val="22"/>
                <w:szCs w:val="22"/>
                <w:lang w:val="en-GB"/>
              </w:rPr>
            </w:pPr>
          </w:p>
        </w:tc>
        <w:tc>
          <w:tcPr>
            <w:tcW w:w="2337" w:type="dxa"/>
          </w:tcPr>
          <w:p w14:paraId="03FFD9D8"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Convenience</w:t>
            </w:r>
          </w:p>
          <w:p w14:paraId="0954E8D2" w14:textId="77777777" w:rsidR="00BD1342" w:rsidRPr="00BD1342" w:rsidRDefault="00BD1342" w:rsidP="00BD1342">
            <w:pPr>
              <w:spacing w:before="60" w:after="60" w:line="240" w:lineRule="auto"/>
              <w:rPr>
                <w:rFonts w:ascii="Aptos" w:eastAsia="Aptos" w:hAnsi="Aptos" w:cs="Arial"/>
                <w:sz w:val="22"/>
                <w:szCs w:val="22"/>
                <w:lang w:val="en-GB"/>
              </w:rPr>
            </w:pPr>
          </w:p>
          <w:p w14:paraId="1974805B"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NB: Only people with one eye condition included in this case study, other eye conditions excluded.</w:t>
            </w:r>
          </w:p>
        </w:tc>
        <w:tc>
          <w:tcPr>
            <w:tcW w:w="2336" w:type="dxa"/>
          </w:tcPr>
          <w:p w14:paraId="256CE226"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Mixed methods: survey items administered by structured interview, both open and closed items (89 adults with severe vision impairment from age-related macular degeneration) followed by subset (n = 15) semi-structured interviews.</w:t>
            </w:r>
          </w:p>
        </w:tc>
        <w:tc>
          <w:tcPr>
            <w:tcW w:w="2337" w:type="dxa"/>
          </w:tcPr>
          <w:p w14:paraId="5D2CA365"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Consent materials in </w:t>
            </w:r>
            <w:proofErr w:type="gramStart"/>
            <w:r w:rsidRPr="00BD1342">
              <w:rPr>
                <w:rFonts w:ascii="Aptos" w:eastAsia="Aptos" w:hAnsi="Aptos" w:cs="Arial"/>
                <w:sz w:val="22"/>
                <w:szCs w:val="22"/>
                <w:lang w:val="en-GB"/>
              </w:rPr>
              <w:t>18 point</w:t>
            </w:r>
            <w:proofErr w:type="gramEnd"/>
            <w:r w:rsidRPr="00BD1342">
              <w:rPr>
                <w:rFonts w:ascii="Aptos" w:eastAsia="Aptos" w:hAnsi="Aptos" w:cs="Arial"/>
                <w:sz w:val="22"/>
                <w:szCs w:val="22"/>
                <w:lang w:val="en-GB"/>
              </w:rPr>
              <w:t xml:space="preserve"> font, one font type, no italics or caps, </w:t>
            </w:r>
            <w:proofErr w:type="gramStart"/>
            <w:r w:rsidRPr="00BD1342">
              <w:rPr>
                <w:rFonts w:ascii="Aptos" w:eastAsia="Aptos" w:hAnsi="Aptos" w:cs="Arial"/>
                <w:sz w:val="22"/>
                <w:szCs w:val="22"/>
                <w:lang w:val="en-GB"/>
              </w:rPr>
              <w:t>1.5 line</w:t>
            </w:r>
            <w:proofErr w:type="gramEnd"/>
            <w:r w:rsidRPr="00BD1342">
              <w:rPr>
                <w:rFonts w:ascii="Aptos" w:eastAsia="Aptos" w:hAnsi="Aptos" w:cs="Arial"/>
                <w:sz w:val="22"/>
                <w:szCs w:val="22"/>
                <w:lang w:val="en-GB"/>
              </w:rPr>
              <w:t xml:space="preserve"> spacing, logo in header only, no other graphics, off white and low glare paper.</w:t>
            </w:r>
          </w:p>
        </w:tc>
        <w:tc>
          <w:tcPr>
            <w:tcW w:w="2336" w:type="dxa"/>
          </w:tcPr>
          <w:p w14:paraId="1485407F"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1. Acceptance of accessible, printed materials. </w:t>
            </w:r>
          </w:p>
          <w:p w14:paraId="570803B4"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2. Telephone interviews of survey questions preferred over self-administered survey i.e., trusted support. </w:t>
            </w:r>
          </w:p>
          <w:p w14:paraId="6982F9BD"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3. Adapted communication approach with frequent progress reminders/check ins. 4. Verify proxy consent i.e., allow individual consent and not proxy from family member.</w:t>
            </w:r>
          </w:p>
        </w:tc>
        <w:tc>
          <w:tcPr>
            <w:tcW w:w="2337" w:type="dxa"/>
          </w:tcPr>
          <w:p w14:paraId="60B3B055"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1. Institute letterhead on written materials including invitation letters. </w:t>
            </w:r>
          </w:p>
          <w:p w14:paraId="6880A390"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2. Adopt best practice guidelines for accessible written materials. </w:t>
            </w:r>
          </w:p>
          <w:p w14:paraId="2A0FC0BA"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3. Provide verbal timestamps to participants during phone surveys. </w:t>
            </w:r>
          </w:p>
          <w:p w14:paraId="39616B40"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4. Care with proxy consent, always try and obtain consent directly.</w:t>
            </w:r>
          </w:p>
        </w:tc>
      </w:tr>
      <w:tr w:rsidR="00BD1342" w:rsidRPr="00BD1342" w14:paraId="4AF053AF" w14:textId="77777777" w:rsidTr="00E774CA">
        <w:tc>
          <w:tcPr>
            <w:tcW w:w="2336" w:type="dxa"/>
          </w:tcPr>
          <w:p w14:paraId="125A37FC"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Sabatello et al. 2019</w:t>
            </w:r>
          </w:p>
          <w:p w14:paraId="2A226C54" w14:textId="77777777" w:rsidR="00BD1342" w:rsidRPr="00BD1342" w:rsidRDefault="00BD1342" w:rsidP="00BD1342">
            <w:pPr>
              <w:spacing w:before="60" w:after="60" w:line="240" w:lineRule="auto"/>
              <w:rPr>
                <w:rFonts w:ascii="Aptos" w:eastAsia="Aptos" w:hAnsi="Aptos" w:cs="Arial"/>
                <w:sz w:val="22"/>
                <w:szCs w:val="22"/>
                <w:lang w:val="en-GB"/>
              </w:rPr>
            </w:pPr>
          </w:p>
        </w:tc>
        <w:tc>
          <w:tcPr>
            <w:tcW w:w="2337" w:type="dxa"/>
          </w:tcPr>
          <w:p w14:paraId="05A2ABAF"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Purposive</w:t>
            </w:r>
          </w:p>
        </w:tc>
        <w:tc>
          <w:tcPr>
            <w:tcW w:w="2336" w:type="dxa"/>
          </w:tcPr>
          <w:p w14:paraId="4CA111E5"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Online survey, open and closed items (271 adults with low vision or blindness).</w:t>
            </w:r>
          </w:p>
        </w:tc>
        <w:tc>
          <w:tcPr>
            <w:tcW w:w="2337" w:type="dxa"/>
          </w:tcPr>
          <w:p w14:paraId="5A38564E"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Study invitation materials shared via national disability support centres; participants were referred to online survey and answered two questions to confirm understanding before proceeding to the survey, thus implied consent. </w:t>
            </w:r>
          </w:p>
          <w:p w14:paraId="3E53DF8E"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Survey content, format and programming was tested to ensure accessible to screen readers.</w:t>
            </w:r>
          </w:p>
          <w:p w14:paraId="32B40FAC"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No description on whether study information and consent materials were in accessible formats.</w:t>
            </w:r>
          </w:p>
        </w:tc>
        <w:tc>
          <w:tcPr>
            <w:tcW w:w="2336" w:type="dxa"/>
          </w:tcPr>
          <w:p w14:paraId="40C9FF18"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Communication/participation barriers: </w:t>
            </w:r>
          </w:p>
          <w:p w14:paraId="204C0BBF"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1. 117 (44%) reported information not accessible.</w:t>
            </w:r>
          </w:p>
          <w:p w14:paraId="206B5191"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2. 47 (17%) communication with researchers is difficult.</w:t>
            </w:r>
          </w:p>
          <w:p w14:paraId="5024DD79"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3. 80 (30%) feel that researchers lack knowledge of their needs.</w:t>
            </w:r>
          </w:p>
          <w:p w14:paraId="315154D5"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4. 166 (63%) would be more willing to participate in future research if people with lived experiences helped plan and run the research.</w:t>
            </w:r>
          </w:p>
          <w:p w14:paraId="18303C1C"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5. Open responses conveyed that a facilitator would be if electronic communication and online platforms could work with screen reader technology.</w:t>
            </w:r>
          </w:p>
        </w:tc>
        <w:tc>
          <w:tcPr>
            <w:tcW w:w="2337" w:type="dxa"/>
          </w:tcPr>
          <w:p w14:paraId="0D7EB1A7"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Specific to addressing barriers to inaccessible information: </w:t>
            </w:r>
          </w:p>
          <w:p w14:paraId="5071FEFA"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1. Access to a tablet with screen reader software </w:t>
            </w:r>
          </w:p>
          <w:p w14:paraId="404F9636"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2. Provide audio haptic cues and earphones for privacy. </w:t>
            </w:r>
          </w:p>
          <w:p w14:paraId="484263D8"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3. Accessible text-based layout without graphics, that can be read by screen readers. </w:t>
            </w:r>
          </w:p>
          <w:p w14:paraId="35FD2139"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4. Website information platforms conform to World Wide Web Consortium (WWWC) guidelines.</w:t>
            </w:r>
          </w:p>
        </w:tc>
      </w:tr>
      <w:tr w:rsidR="00BD1342" w:rsidRPr="00BD1342" w14:paraId="1715400D" w14:textId="77777777" w:rsidTr="00E774CA">
        <w:tc>
          <w:tcPr>
            <w:tcW w:w="2336" w:type="dxa"/>
          </w:tcPr>
          <w:p w14:paraId="00C74176"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Kim &amp; </w:t>
            </w:r>
            <w:proofErr w:type="spellStart"/>
            <w:r w:rsidRPr="00BD1342">
              <w:rPr>
                <w:rFonts w:ascii="Aptos" w:eastAsia="Aptos" w:hAnsi="Aptos" w:cs="Arial"/>
                <w:sz w:val="22"/>
                <w:szCs w:val="22"/>
                <w:lang w:val="en-GB"/>
              </w:rPr>
              <w:t>Sutharson</w:t>
            </w:r>
            <w:proofErr w:type="spellEnd"/>
            <w:r w:rsidRPr="00BD1342">
              <w:rPr>
                <w:rFonts w:ascii="Aptos" w:eastAsia="Aptos" w:hAnsi="Aptos" w:cs="Arial"/>
                <w:sz w:val="22"/>
                <w:szCs w:val="22"/>
                <w:lang w:val="en-GB"/>
              </w:rPr>
              <w:t xml:space="preserve"> 2020</w:t>
            </w:r>
          </w:p>
        </w:tc>
        <w:tc>
          <w:tcPr>
            <w:tcW w:w="2337" w:type="dxa"/>
          </w:tcPr>
          <w:p w14:paraId="7726FA05"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Convenience </w:t>
            </w:r>
          </w:p>
          <w:p w14:paraId="2D528DD3"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(unclear how many sites or site name/s)</w:t>
            </w:r>
          </w:p>
        </w:tc>
        <w:tc>
          <w:tcPr>
            <w:tcW w:w="2336" w:type="dxa"/>
          </w:tcPr>
          <w:p w14:paraId="5317AE58"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Interviews, mixed methods data collected from items (28 adults with severe vision impairment and blindness)</w:t>
            </w:r>
          </w:p>
        </w:tc>
        <w:tc>
          <w:tcPr>
            <w:tcW w:w="2337" w:type="dxa"/>
          </w:tcPr>
          <w:p w14:paraId="4E8845E0"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Not described</w:t>
            </w:r>
          </w:p>
        </w:tc>
        <w:tc>
          <w:tcPr>
            <w:tcW w:w="2336" w:type="dxa"/>
          </w:tcPr>
          <w:p w14:paraId="5CED8F65"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Quantitative: 68% would like to receive PICF in advance; 54% would like to involve trusted support/family in process; alternative formats for information supported; preferred format - paper 43%, electronic 43%, verbal 4%, no preference 11%; Regular reminders about consent options </w:t>
            </w:r>
            <w:proofErr w:type="gramStart"/>
            <w:r w:rsidRPr="00BD1342">
              <w:rPr>
                <w:rFonts w:ascii="Aptos" w:eastAsia="Aptos" w:hAnsi="Aptos" w:cs="Arial"/>
                <w:sz w:val="22"/>
                <w:szCs w:val="22"/>
                <w:lang w:val="en-GB"/>
              </w:rPr>
              <w:t>is</w:t>
            </w:r>
            <w:proofErr w:type="gramEnd"/>
            <w:r w:rsidRPr="00BD1342">
              <w:rPr>
                <w:rFonts w:ascii="Aptos" w:eastAsia="Aptos" w:hAnsi="Aptos" w:cs="Arial"/>
                <w:sz w:val="22"/>
                <w:szCs w:val="22"/>
                <w:lang w:val="en-GB"/>
              </w:rPr>
              <w:t xml:space="preserve"> needed 64%. Qualitative: 7 themes/10 subthemes including preference for in-person contact as well as information upfront; alternative formats for PICF; more complex information requires more time to review before initial contact (at least 7 days); reliance on proxy consent from family members if unable to read documents due to vision; communication barriers if no access to computing devices and internet (emails, electronic documents); researchers to learn about culture through vision support agencies (i.e. attend meetings and learn about how to best meet needs); reconfirm consent at regular intervals; person first language and describe environment (verbal clues and cues), explain what you are doing when.</w:t>
            </w:r>
          </w:p>
        </w:tc>
        <w:tc>
          <w:tcPr>
            <w:tcW w:w="2337" w:type="dxa"/>
          </w:tcPr>
          <w:p w14:paraId="20A2FA8C"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1. Initial contact, need to establish credibility (in view of email scams etc.). </w:t>
            </w:r>
          </w:p>
          <w:p w14:paraId="27729312"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2. Recruitment through community networks will assist with legitimacy. </w:t>
            </w:r>
          </w:p>
          <w:p w14:paraId="7180D494"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3. Researchers need to consider an individual’s preference for accessing information, use of assistive technology &amp; technology literacy. </w:t>
            </w:r>
          </w:p>
          <w:p w14:paraId="7668370F"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4. Liaise with community support orgs to understand the needs of the community. (other recommendations cited but not relevant).</w:t>
            </w:r>
          </w:p>
        </w:tc>
      </w:tr>
      <w:tr w:rsidR="00BD1342" w:rsidRPr="00BD1342" w14:paraId="68622373" w14:textId="77777777" w:rsidTr="00E774CA">
        <w:tc>
          <w:tcPr>
            <w:tcW w:w="2336" w:type="dxa"/>
          </w:tcPr>
          <w:p w14:paraId="2546E11B"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McGrath et al. 2025</w:t>
            </w:r>
          </w:p>
          <w:p w14:paraId="2B368CFF" w14:textId="77777777" w:rsidR="00BD1342" w:rsidRPr="00BD1342" w:rsidRDefault="00BD1342" w:rsidP="00BD1342">
            <w:pPr>
              <w:spacing w:before="60" w:after="60" w:line="240" w:lineRule="auto"/>
              <w:rPr>
                <w:rFonts w:ascii="Aptos" w:eastAsia="Aptos" w:hAnsi="Aptos" w:cs="Arial"/>
                <w:sz w:val="22"/>
                <w:szCs w:val="22"/>
                <w:lang w:val="en-GB"/>
              </w:rPr>
            </w:pPr>
          </w:p>
        </w:tc>
        <w:tc>
          <w:tcPr>
            <w:tcW w:w="2337" w:type="dxa"/>
          </w:tcPr>
          <w:p w14:paraId="66CBD15A"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Convenience (older adults with vision loss, community leaders and service providers from one city).</w:t>
            </w:r>
          </w:p>
        </w:tc>
        <w:tc>
          <w:tcPr>
            <w:tcW w:w="2336" w:type="dxa"/>
          </w:tcPr>
          <w:p w14:paraId="342B44CF"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Appreciative inquiry: monthly focus group meetings across 12 months (9 stakeholders including 3 people with vision loss).</w:t>
            </w:r>
          </w:p>
        </w:tc>
        <w:tc>
          <w:tcPr>
            <w:tcW w:w="2337" w:type="dxa"/>
          </w:tcPr>
          <w:p w14:paraId="7AFB8E3D"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All study documents were made available in large print, braille, and/or as audio recordings. In addition, all meeting materials circulated in both Word and PDF to enable the use of screen reading software. As needed, during the consent process, information was read out to participant. Verbal or written consent permitted, for the latter, with the aid of signature guide.</w:t>
            </w:r>
          </w:p>
        </w:tc>
        <w:tc>
          <w:tcPr>
            <w:tcW w:w="2336" w:type="dxa"/>
          </w:tcPr>
          <w:p w14:paraId="1F8CC095" w14:textId="77777777" w:rsidR="00BD1342" w:rsidRPr="00BD1342" w:rsidRDefault="00BD1342" w:rsidP="00BD1342">
            <w:pPr>
              <w:spacing w:before="0" w:after="0" w:line="240" w:lineRule="auto"/>
              <w:rPr>
                <w:rFonts w:ascii="Aptos" w:eastAsia="Aptos" w:hAnsi="Aptos"/>
                <w:sz w:val="22"/>
                <w:szCs w:val="22"/>
                <w:lang w:val="en-GB"/>
              </w:rPr>
            </w:pPr>
            <w:r w:rsidRPr="00BD1342">
              <w:rPr>
                <w:rFonts w:ascii="Aptos" w:eastAsia="Aptos" w:hAnsi="Aptos"/>
                <w:sz w:val="22"/>
                <w:szCs w:val="22"/>
                <w:lang w:val="en-GB"/>
              </w:rPr>
              <w:t xml:space="preserve">1. Ensure compliance with digital accessibility standards and check digital formats for screen reader accessibility; avoid tables, correctly formatted headings. </w:t>
            </w:r>
          </w:p>
          <w:p w14:paraId="75C4E8DF" w14:textId="77777777" w:rsidR="00BD1342" w:rsidRPr="00BD1342" w:rsidRDefault="00BD1342" w:rsidP="00BD1342">
            <w:pPr>
              <w:spacing w:before="0" w:after="0" w:line="240" w:lineRule="auto"/>
              <w:rPr>
                <w:rFonts w:ascii="Aptos" w:eastAsia="Aptos" w:hAnsi="Aptos"/>
                <w:sz w:val="22"/>
                <w:szCs w:val="22"/>
                <w:lang w:val="en-GB"/>
              </w:rPr>
            </w:pPr>
            <w:r w:rsidRPr="00BD1342">
              <w:rPr>
                <w:rFonts w:ascii="Aptos" w:eastAsia="Aptos" w:hAnsi="Aptos"/>
                <w:sz w:val="22"/>
                <w:szCs w:val="22"/>
                <w:lang w:val="en-GB"/>
              </w:rPr>
              <w:t xml:space="preserve">2. All materials available in large print, braille and/or audio recordings. Both Word and PDF digital formats. </w:t>
            </w:r>
          </w:p>
          <w:p w14:paraId="1E269D90" w14:textId="77777777" w:rsidR="00BD1342" w:rsidRPr="00BD1342" w:rsidRDefault="00BD1342" w:rsidP="00BD1342">
            <w:pPr>
              <w:spacing w:before="0" w:after="0" w:line="240" w:lineRule="auto"/>
              <w:rPr>
                <w:rFonts w:ascii="Aptos" w:eastAsia="Aptos" w:hAnsi="Aptos"/>
                <w:sz w:val="22"/>
                <w:szCs w:val="22"/>
                <w:lang w:val="en-GB"/>
              </w:rPr>
            </w:pPr>
            <w:r w:rsidRPr="00BD1342">
              <w:rPr>
                <w:rFonts w:ascii="Aptos" w:eastAsia="Aptos" w:hAnsi="Aptos"/>
                <w:sz w:val="22"/>
                <w:szCs w:val="22"/>
                <w:lang w:val="en-GB"/>
              </w:rPr>
              <w:t xml:space="preserve">3. Option to have all information read to participants as needed. </w:t>
            </w:r>
          </w:p>
          <w:p w14:paraId="4A775C2D" w14:textId="77777777" w:rsidR="00BD1342" w:rsidRPr="00BD1342" w:rsidRDefault="00BD1342" w:rsidP="00BD1342">
            <w:pPr>
              <w:spacing w:before="0" w:after="0" w:line="240" w:lineRule="auto"/>
              <w:rPr>
                <w:rFonts w:ascii="Aptos" w:eastAsia="Aptos" w:hAnsi="Aptos"/>
                <w:sz w:val="22"/>
                <w:szCs w:val="22"/>
                <w:lang w:val="en-GB"/>
              </w:rPr>
            </w:pPr>
            <w:r w:rsidRPr="00BD1342">
              <w:rPr>
                <w:rFonts w:ascii="Aptos" w:eastAsia="Aptos" w:hAnsi="Aptos"/>
                <w:sz w:val="22"/>
                <w:szCs w:val="22"/>
                <w:lang w:val="en-GB"/>
              </w:rPr>
              <w:t>4. Flexible consent options, verbal and written, with a signature guide to assist written consent. 5. Option for research participant to choose location for discussion (when/where); and staff to be trained in sighted guide.</w:t>
            </w:r>
          </w:p>
          <w:p w14:paraId="60181365" w14:textId="77777777" w:rsidR="00BD1342" w:rsidRPr="00BD1342" w:rsidRDefault="00BD1342" w:rsidP="00BD1342">
            <w:pPr>
              <w:spacing w:before="60" w:after="60" w:line="240" w:lineRule="auto"/>
              <w:rPr>
                <w:rFonts w:ascii="Aptos" w:eastAsia="Aptos" w:hAnsi="Aptos" w:cs="Arial"/>
                <w:sz w:val="22"/>
                <w:szCs w:val="22"/>
                <w:lang w:val="en-GB"/>
              </w:rPr>
            </w:pPr>
          </w:p>
        </w:tc>
        <w:tc>
          <w:tcPr>
            <w:tcW w:w="2337" w:type="dxa"/>
          </w:tcPr>
          <w:p w14:paraId="16ACFCDC"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1. Build opportunities for choice, autonomy, control and flexibility across all research stages. </w:t>
            </w:r>
          </w:p>
          <w:p w14:paraId="056D3E5F"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2. Information i.e., consent forms, in multiple formats including large print, braille and audio formats. </w:t>
            </w:r>
          </w:p>
          <w:p w14:paraId="4AFE69B3"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3. Consent forms to be 'less wordy'. Avoid long and unreadable documents. </w:t>
            </w:r>
          </w:p>
          <w:p w14:paraId="1D29D1CB"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4. Consumer input into the design and content of consent forms - specifically working with the b/Blind and partially sighted community, to ensure any online tools as well as documents produced are accessible in print form, and with screen reading software.</w:t>
            </w:r>
          </w:p>
        </w:tc>
      </w:tr>
    </w:tbl>
    <w:p w14:paraId="532728B9" w14:textId="77777777" w:rsidR="00E774CA" w:rsidRPr="00BD1342" w:rsidRDefault="00E774CA" w:rsidP="00E774CA">
      <w:pPr>
        <w:spacing w:before="60" w:after="60" w:line="240" w:lineRule="auto"/>
        <w:rPr>
          <w:rFonts w:ascii="Aptos" w:eastAsia="Aptos" w:hAnsi="Aptos" w:cs="Arial"/>
          <w:kern w:val="2"/>
          <w:sz w:val="22"/>
          <w:szCs w:val="22"/>
          <w:lang w:eastAsia="en-US"/>
        </w:rPr>
      </w:pPr>
      <w:r w:rsidRPr="00BD1342">
        <w:rPr>
          <w:rFonts w:ascii="Aptos" w:eastAsia="Aptos" w:hAnsi="Aptos" w:cs="Arial"/>
          <w:kern w:val="2"/>
          <w:sz w:val="22"/>
          <w:szCs w:val="22"/>
          <w:lang w:val="en-GB" w:eastAsia="en-US"/>
        </w:rPr>
        <w:t xml:space="preserve">Footnote: </w:t>
      </w:r>
      <w:r w:rsidRPr="00BD1342">
        <w:rPr>
          <w:rFonts w:ascii="Aptos" w:eastAsia="Aptos" w:hAnsi="Aptos" w:cs="Arial"/>
          <w:kern w:val="2"/>
          <w:sz w:val="22"/>
          <w:szCs w:val="22"/>
          <w:lang w:eastAsia="en-US"/>
        </w:rPr>
        <w:t>Terminology reflects what is used in included studies, with predominance for “vision impairment.” In the main text, we use “people with vision differences.”</w:t>
      </w:r>
    </w:p>
    <w:p w14:paraId="72A174BB" w14:textId="77777777" w:rsidR="00BD1342" w:rsidRDefault="00BD1342" w:rsidP="00BD1342">
      <w:pPr>
        <w:spacing w:before="60" w:after="60" w:line="240" w:lineRule="auto"/>
        <w:rPr>
          <w:rFonts w:ascii="Aptos" w:eastAsia="Aptos" w:hAnsi="Aptos" w:cs="Arial"/>
          <w:b/>
          <w:bCs/>
          <w:kern w:val="2"/>
          <w:sz w:val="22"/>
          <w:szCs w:val="22"/>
          <w:highlight w:val="green"/>
          <w:lang w:val="en-GB" w:eastAsia="en-US"/>
        </w:rPr>
      </w:pPr>
    </w:p>
    <w:p w14:paraId="3693CB0C" w14:textId="77777777" w:rsidR="00923140" w:rsidRPr="00BD1342" w:rsidRDefault="00923140" w:rsidP="00BD1342">
      <w:pPr>
        <w:spacing w:before="60" w:after="60" w:line="240" w:lineRule="auto"/>
        <w:rPr>
          <w:rFonts w:ascii="Aptos" w:eastAsia="Aptos" w:hAnsi="Aptos" w:cs="Arial"/>
          <w:b/>
          <w:bCs/>
          <w:kern w:val="2"/>
          <w:sz w:val="22"/>
          <w:szCs w:val="22"/>
          <w:highlight w:val="green"/>
          <w:lang w:val="en-GB" w:eastAsia="en-US"/>
        </w:rPr>
      </w:pPr>
    </w:p>
    <w:p w14:paraId="37081F92" w14:textId="77777777" w:rsidR="00BD1342" w:rsidRPr="00BD1342" w:rsidRDefault="00BD1342" w:rsidP="00BD1342">
      <w:pPr>
        <w:spacing w:before="60" w:after="60" w:line="240" w:lineRule="auto"/>
        <w:rPr>
          <w:rFonts w:ascii="Aptos" w:eastAsia="Aptos" w:hAnsi="Aptos" w:cs="Arial"/>
          <w:b/>
          <w:bCs/>
          <w:kern w:val="2"/>
          <w:sz w:val="22"/>
          <w:szCs w:val="22"/>
          <w:lang w:val="en-GB" w:eastAsia="en-US"/>
        </w:rPr>
      </w:pPr>
      <w:r w:rsidRPr="00BD1342">
        <w:rPr>
          <w:rFonts w:ascii="Aptos" w:eastAsia="Aptos" w:hAnsi="Aptos" w:cs="Arial"/>
          <w:b/>
          <w:bCs/>
          <w:kern w:val="2"/>
          <w:sz w:val="22"/>
          <w:szCs w:val="22"/>
          <w:highlight w:val="green"/>
          <w:lang w:val="en-GB" w:eastAsia="en-US"/>
        </w:rPr>
        <w:t>Table 2C.  Article summary for those pertaining to people who are Deafblind (n = 5)</w:t>
      </w:r>
    </w:p>
    <w:tbl>
      <w:tblPr>
        <w:tblStyle w:val="TableGrid3"/>
        <w:tblW w:w="14172" w:type="dxa"/>
        <w:tblInd w:w="-4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362"/>
        <w:gridCol w:w="2362"/>
        <w:gridCol w:w="2362"/>
        <w:gridCol w:w="2362"/>
        <w:gridCol w:w="2362"/>
        <w:gridCol w:w="2362"/>
      </w:tblGrid>
      <w:tr w:rsidR="00BD1342" w:rsidRPr="00BD1342" w14:paraId="30F001A2" w14:textId="77777777" w:rsidTr="00E774CA">
        <w:trPr>
          <w:tblHeader/>
        </w:trPr>
        <w:tc>
          <w:tcPr>
            <w:tcW w:w="2362" w:type="dxa"/>
          </w:tcPr>
          <w:p w14:paraId="4DB004C5"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b/>
                <w:bCs/>
                <w:sz w:val="22"/>
                <w:szCs w:val="22"/>
                <w:lang w:val="en-GB"/>
              </w:rPr>
              <w:t xml:space="preserve">Authors and year </w:t>
            </w:r>
          </w:p>
        </w:tc>
        <w:tc>
          <w:tcPr>
            <w:tcW w:w="2362" w:type="dxa"/>
          </w:tcPr>
          <w:p w14:paraId="74B3E682"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b/>
                <w:bCs/>
                <w:sz w:val="22"/>
                <w:szCs w:val="22"/>
                <w:lang w:val="en-GB"/>
              </w:rPr>
              <w:t>Sampling strategy</w:t>
            </w:r>
          </w:p>
        </w:tc>
        <w:tc>
          <w:tcPr>
            <w:tcW w:w="2362" w:type="dxa"/>
          </w:tcPr>
          <w:p w14:paraId="349F0D7A"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b/>
                <w:bCs/>
                <w:sz w:val="22"/>
                <w:szCs w:val="22"/>
                <w:lang w:val="en-GB"/>
              </w:rPr>
              <w:t>Data collection methods (N)</w:t>
            </w:r>
          </w:p>
        </w:tc>
        <w:tc>
          <w:tcPr>
            <w:tcW w:w="2362" w:type="dxa"/>
          </w:tcPr>
          <w:p w14:paraId="54D4CBB9"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b/>
                <w:bCs/>
                <w:sz w:val="22"/>
                <w:szCs w:val="22"/>
                <w:lang w:val="en-GB"/>
              </w:rPr>
              <w:t xml:space="preserve">Accessible informed consent procedure detailed </w:t>
            </w:r>
          </w:p>
        </w:tc>
        <w:tc>
          <w:tcPr>
            <w:tcW w:w="2362" w:type="dxa"/>
          </w:tcPr>
          <w:p w14:paraId="02986036"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b/>
                <w:bCs/>
                <w:sz w:val="22"/>
                <w:szCs w:val="22"/>
                <w:lang w:val="en-GB"/>
              </w:rPr>
              <w:t>Main findings</w:t>
            </w:r>
          </w:p>
        </w:tc>
        <w:tc>
          <w:tcPr>
            <w:tcW w:w="2362" w:type="dxa"/>
          </w:tcPr>
          <w:p w14:paraId="2AAFAF97"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b/>
                <w:bCs/>
                <w:sz w:val="22"/>
                <w:szCs w:val="22"/>
                <w:lang w:val="en-GB"/>
              </w:rPr>
              <w:t>Recommendations</w:t>
            </w:r>
          </w:p>
        </w:tc>
      </w:tr>
      <w:tr w:rsidR="00BD1342" w:rsidRPr="00BD1342" w14:paraId="558C53E0" w14:textId="77777777" w:rsidTr="00E774CA">
        <w:tc>
          <w:tcPr>
            <w:tcW w:w="2362" w:type="dxa"/>
          </w:tcPr>
          <w:p w14:paraId="027B832A"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Roy et al. 2018</w:t>
            </w:r>
          </w:p>
        </w:tc>
        <w:tc>
          <w:tcPr>
            <w:tcW w:w="2362" w:type="dxa"/>
          </w:tcPr>
          <w:p w14:paraId="57639788"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Purposive (through community support services incl. Able Australia)</w:t>
            </w:r>
          </w:p>
        </w:tc>
        <w:tc>
          <w:tcPr>
            <w:tcW w:w="2362" w:type="dxa"/>
          </w:tcPr>
          <w:p w14:paraId="22B91BDF"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Semi-structured interviews; themes inductively coded (8 community experts/ professionals)</w:t>
            </w:r>
          </w:p>
        </w:tc>
        <w:tc>
          <w:tcPr>
            <w:tcW w:w="2362" w:type="dxa"/>
          </w:tcPr>
          <w:p w14:paraId="326EEDDD"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Not described</w:t>
            </w:r>
          </w:p>
        </w:tc>
        <w:tc>
          <w:tcPr>
            <w:tcW w:w="2362" w:type="dxa"/>
          </w:tcPr>
          <w:p w14:paraId="64A8056F"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1. Deafblind people are not exposed to the same information as wider community; Deafblind people are frequently unable to access information. These two results described as "communication deprivation". </w:t>
            </w:r>
          </w:p>
          <w:p w14:paraId="1CE55E79"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2. Researchers need to build trusting relationship &amp; create safe respectful environment. </w:t>
            </w:r>
          </w:p>
          <w:p w14:paraId="2666180F"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3. Researchers need specialist skills to connect. </w:t>
            </w:r>
          </w:p>
          <w:p w14:paraId="35B5B198"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4. Researchers need to dampen power imbalance. </w:t>
            </w:r>
          </w:p>
          <w:p w14:paraId="166AEC43"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5. Researchers need to recognize Deafblind cultural diversity and spectrum of experiences. </w:t>
            </w:r>
          </w:p>
          <w:p w14:paraId="1EF68A3A"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6. Design research that allows and captures the heterogeneity of the community.</w:t>
            </w:r>
          </w:p>
        </w:tc>
        <w:tc>
          <w:tcPr>
            <w:tcW w:w="2362" w:type="dxa"/>
          </w:tcPr>
          <w:p w14:paraId="73219C46"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1. Deafblind people should be central to co-design and co-production of research. </w:t>
            </w:r>
          </w:p>
          <w:p w14:paraId="6B751506"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2. Consult with sign and language interpreters to aid cultural and linguistic sensitivity. </w:t>
            </w:r>
          </w:p>
          <w:p w14:paraId="05B48118"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3. Researchers should engage with people with expert knowledge as part of early planning. </w:t>
            </w:r>
          </w:p>
          <w:p w14:paraId="78C91735"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4. Researchers need to spend time with community, developing relationships and preparing people for the research experience (i.e., workshop, community briefing, accessible information shared).</w:t>
            </w:r>
          </w:p>
        </w:tc>
      </w:tr>
      <w:tr w:rsidR="00BD1342" w:rsidRPr="00BD1342" w14:paraId="2D58D95A" w14:textId="77777777" w:rsidTr="00E774CA">
        <w:tc>
          <w:tcPr>
            <w:tcW w:w="2362" w:type="dxa"/>
          </w:tcPr>
          <w:p w14:paraId="037A8987"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Skilton et al. 2018</w:t>
            </w:r>
          </w:p>
          <w:p w14:paraId="0EFAA8A8" w14:textId="77777777" w:rsidR="00BD1342" w:rsidRPr="00BD1342" w:rsidRDefault="00BD1342" w:rsidP="00BD1342">
            <w:pPr>
              <w:spacing w:before="60" w:after="60" w:line="240" w:lineRule="auto"/>
              <w:rPr>
                <w:rFonts w:ascii="Aptos" w:eastAsia="Aptos" w:hAnsi="Aptos" w:cs="Arial"/>
                <w:sz w:val="22"/>
                <w:szCs w:val="22"/>
                <w:lang w:val="en-GB"/>
              </w:rPr>
            </w:pPr>
          </w:p>
        </w:tc>
        <w:tc>
          <w:tcPr>
            <w:tcW w:w="2362" w:type="dxa"/>
          </w:tcPr>
          <w:p w14:paraId="4124F9BE"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Purposive (through Moorfield’s hospital EMR and through Sense, community support centre).</w:t>
            </w:r>
          </w:p>
        </w:tc>
        <w:tc>
          <w:tcPr>
            <w:tcW w:w="2362" w:type="dxa"/>
          </w:tcPr>
          <w:p w14:paraId="428DB727"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Focus Group (5 adults with Usher Syndrome, 3 staff).</w:t>
            </w:r>
          </w:p>
        </w:tc>
        <w:tc>
          <w:tcPr>
            <w:tcW w:w="2362" w:type="dxa"/>
          </w:tcPr>
          <w:p w14:paraId="51B837CC"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Not described</w:t>
            </w:r>
          </w:p>
        </w:tc>
        <w:tc>
          <w:tcPr>
            <w:tcW w:w="2362" w:type="dxa"/>
          </w:tcPr>
          <w:p w14:paraId="234164C7"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Researchers to prepare for accessibility: consider room layout, lighting, positioning, provision of qualified sign language interpreters, and interpreter breaks, communication support needs such as printed document requirements, use of assistive technology, access to Wi-Fi and devices to add communication (i.e. text to speech or speech to text), access to counselling during research.</w:t>
            </w:r>
          </w:p>
        </w:tc>
        <w:tc>
          <w:tcPr>
            <w:tcW w:w="2362" w:type="dxa"/>
          </w:tcPr>
          <w:p w14:paraId="1EC3EDB4"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From main table: Guide to help researchers: inclusion of DB people: </w:t>
            </w:r>
          </w:p>
          <w:p w14:paraId="5D82C9D6"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1. Quiet space; no glare in room; fitted with audio induction loop. </w:t>
            </w:r>
          </w:p>
          <w:p w14:paraId="7D860076"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2. Printed documents in large print (font size 18 or above), sans serif fonts, high contrast (i.e. black text on yellow background), Braille format as required. </w:t>
            </w:r>
          </w:p>
          <w:p w14:paraId="18CCBA63"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3. Qualified and </w:t>
            </w:r>
            <w:proofErr w:type="gramStart"/>
            <w:r w:rsidRPr="00BD1342">
              <w:rPr>
                <w:rFonts w:ascii="Aptos" w:eastAsia="Aptos" w:hAnsi="Aptos" w:cs="Arial"/>
                <w:sz w:val="22"/>
                <w:szCs w:val="22"/>
                <w:lang w:val="en-GB"/>
              </w:rPr>
              <w:t>high quality</w:t>
            </w:r>
            <w:proofErr w:type="gramEnd"/>
            <w:r w:rsidRPr="00BD1342">
              <w:rPr>
                <w:rFonts w:ascii="Aptos" w:eastAsia="Aptos" w:hAnsi="Aptos" w:cs="Arial"/>
                <w:sz w:val="22"/>
                <w:szCs w:val="22"/>
                <w:lang w:val="en-GB"/>
              </w:rPr>
              <w:t xml:space="preserve"> interpreters. </w:t>
            </w:r>
          </w:p>
          <w:p w14:paraId="011723D6"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4. Support to use assistive technology of choice (i.e. captioner, tablets, e-reader). </w:t>
            </w:r>
          </w:p>
          <w:p w14:paraId="6FC6813C"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5. Skilled, trained and 'sensitive' researcher.</w:t>
            </w:r>
          </w:p>
        </w:tc>
      </w:tr>
      <w:tr w:rsidR="00BD1342" w:rsidRPr="00BD1342" w14:paraId="4CC506D1" w14:textId="77777777" w:rsidTr="00E774CA">
        <w:tc>
          <w:tcPr>
            <w:tcW w:w="2362" w:type="dxa"/>
          </w:tcPr>
          <w:p w14:paraId="44972F22"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Jaiswal et al. 2020</w:t>
            </w:r>
          </w:p>
          <w:p w14:paraId="76F7F23B" w14:textId="77777777" w:rsidR="00BD1342" w:rsidRPr="00BD1342" w:rsidRDefault="00BD1342" w:rsidP="00BD1342">
            <w:pPr>
              <w:spacing w:before="60" w:after="60" w:line="240" w:lineRule="auto"/>
              <w:rPr>
                <w:rFonts w:ascii="Aptos" w:eastAsia="Aptos" w:hAnsi="Aptos" w:cs="Arial"/>
                <w:sz w:val="22"/>
                <w:szCs w:val="22"/>
                <w:lang w:val="en-GB"/>
              </w:rPr>
            </w:pPr>
          </w:p>
        </w:tc>
        <w:tc>
          <w:tcPr>
            <w:tcW w:w="2362" w:type="dxa"/>
          </w:tcPr>
          <w:p w14:paraId="2114BB32"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Purposive through two leading organizations that support people with disability (Sense International India &amp; Deafblind Ontario Services).</w:t>
            </w:r>
          </w:p>
        </w:tc>
        <w:tc>
          <w:tcPr>
            <w:tcW w:w="2362" w:type="dxa"/>
          </w:tcPr>
          <w:p w14:paraId="335E2716"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Appreciative Inquiry, retrospective case study, observational/ ethnography, semi-structured interviews (16 adults with acquired or congenital </w:t>
            </w:r>
            <w:proofErr w:type="spellStart"/>
            <w:r w:rsidRPr="00BD1342">
              <w:rPr>
                <w:rFonts w:ascii="Aptos" w:eastAsia="Aptos" w:hAnsi="Aptos" w:cs="Arial"/>
                <w:sz w:val="22"/>
                <w:szCs w:val="22"/>
                <w:lang w:val="en-GB"/>
              </w:rPr>
              <w:t>deafblindness</w:t>
            </w:r>
            <w:proofErr w:type="spellEnd"/>
            <w:r w:rsidRPr="00BD1342">
              <w:rPr>
                <w:rFonts w:ascii="Aptos" w:eastAsia="Aptos" w:hAnsi="Aptos" w:cs="Arial"/>
                <w:sz w:val="22"/>
                <w:szCs w:val="22"/>
                <w:lang w:val="en-GB"/>
              </w:rPr>
              <w:t>)</w:t>
            </w:r>
          </w:p>
        </w:tc>
        <w:tc>
          <w:tcPr>
            <w:tcW w:w="2362" w:type="dxa"/>
          </w:tcPr>
          <w:p w14:paraId="3E0E3A21"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Participants were asked their preferred mode of communication and information formats; docs provided 2 weeks before interview in preferred accessible format; involvement of trusted supports in consent process; investing sufficient time for discussion and questions.</w:t>
            </w:r>
          </w:p>
        </w:tc>
        <w:tc>
          <w:tcPr>
            <w:tcW w:w="2362" w:type="dxa"/>
          </w:tcPr>
          <w:p w14:paraId="42D8D43D"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People with </w:t>
            </w:r>
            <w:proofErr w:type="spellStart"/>
            <w:r w:rsidRPr="00BD1342">
              <w:rPr>
                <w:rFonts w:ascii="Aptos" w:eastAsia="Aptos" w:hAnsi="Aptos" w:cs="Arial"/>
                <w:sz w:val="22"/>
                <w:szCs w:val="22"/>
                <w:lang w:val="en-GB"/>
              </w:rPr>
              <w:t>deafblindness</w:t>
            </w:r>
            <w:proofErr w:type="spellEnd"/>
            <w:r w:rsidRPr="00BD1342">
              <w:rPr>
                <w:rFonts w:ascii="Aptos" w:eastAsia="Aptos" w:hAnsi="Aptos" w:cs="Arial"/>
                <w:sz w:val="22"/>
                <w:szCs w:val="22"/>
                <w:lang w:val="en-GB"/>
              </w:rPr>
              <w:t xml:space="preserve"> use a range of communication modes, often in combination (Table 1 &amp; 2 results). Strategies that were deemed successful and effective included: speaking clearly and slowly; ensuring the researchers is positioned in participants visual field; give examples that relate to their daily living to help explain concepts (relatedness); having family members and trusted supports present; well-lit, quiet space; use of a variety of communication methods to aid questions/answers.</w:t>
            </w:r>
          </w:p>
          <w:p w14:paraId="1352F03F"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Strategies extrapolated: Early process: </w:t>
            </w:r>
          </w:p>
          <w:p w14:paraId="6FD74A52"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1. Training in different communication modes. 2. Engagement of leading community organizations to help with planning, recruitment and understanding needs. </w:t>
            </w:r>
          </w:p>
          <w:p w14:paraId="314B16CA"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3. Send all materials early i.e., 2 weeks to review. </w:t>
            </w:r>
          </w:p>
          <w:p w14:paraId="28B6058C"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4. Ask preference for engagement e.g., in-person, online, tactile or language interpreter needed. </w:t>
            </w:r>
          </w:p>
          <w:p w14:paraId="69FF8E3E"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During process: </w:t>
            </w:r>
          </w:p>
          <w:p w14:paraId="0C00DE2F"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1. Build rapport and use effective interpersonal communication skills. </w:t>
            </w:r>
          </w:p>
          <w:p w14:paraId="185855A4"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2. Tailor language (i.e., simple, accessible). </w:t>
            </w:r>
          </w:p>
          <w:p w14:paraId="0FDA40A2"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3. Use of their preferred online platform. </w:t>
            </w:r>
          </w:p>
          <w:p w14:paraId="42EE4857"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4. Allow sufficient time for responses &amp; process.</w:t>
            </w:r>
          </w:p>
        </w:tc>
        <w:tc>
          <w:tcPr>
            <w:tcW w:w="2362" w:type="dxa"/>
          </w:tcPr>
          <w:p w14:paraId="4A5A0201"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Recommendations for informed consent: </w:t>
            </w:r>
          </w:p>
          <w:p w14:paraId="7A0BB661"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1. Ask participants beforehand about their preferred format/s to receive detailed information. </w:t>
            </w:r>
          </w:p>
          <w:p w14:paraId="2E609529"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2. Provision of accessible documents ahead of contact i.e., 2 weeks prior. </w:t>
            </w:r>
          </w:p>
          <w:p w14:paraId="4A470B5A"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3. Communicate using preferred communication modes e.g., large print, signing. </w:t>
            </w:r>
          </w:p>
          <w:p w14:paraId="228B6426"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4. Flexibility in providing consent i.e., choice of written or verbal. </w:t>
            </w:r>
          </w:p>
          <w:p w14:paraId="588DC139"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5. Researchers needs to be flexible during the process. </w:t>
            </w:r>
          </w:p>
          <w:p w14:paraId="513A831E"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6. Making participants feel valued and treating them as knowledgeable is important for conducting inclusive research.</w:t>
            </w:r>
          </w:p>
        </w:tc>
      </w:tr>
      <w:tr w:rsidR="00BD1342" w:rsidRPr="00BD1342" w14:paraId="3AC723B9" w14:textId="77777777" w:rsidTr="00E774CA">
        <w:tc>
          <w:tcPr>
            <w:tcW w:w="2362" w:type="dxa"/>
          </w:tcPr>
          <w:p w14:paraId="3DA34F80" w14:textId="77777777" w:rsidR="00BD1342" w:rsidRPr="00BD1342" w:rsidRDefault="00BD1342" w:rsidP="00BD1342">
            <w:pPr>
              <w:spacing w:before="60" w:after="60" w:line="240" w:lineRule="auto"/>
              <w:rPr>
                <w:rFonts w:ascii="Aptos" w:eastAsia="Aptos" w:hAnsi="Aptos" w:cs="Arial"/>
                <w:sz w:val="22"/>
                <w:szCs w:val="22"/>
                <w:lang w:val="en-GB"/>
              </w:rPr>
            </w:pPr>
            <w:proofErr w:type="spellStart"/>
            <w:r w:rsidRPr="00BD1342">
              <w:rPr>
                <w:rFonts w:ascii="Aptos" w:eastAsia="Aptos" w:hAnsi="Aptos" w:cs="Arial"/>
                <w:sz w:val="22"/>
                <w:szCs w:val="22"/>
                <w:lang w:val="en-GB"/>
              </w:rPr>
              <w:t>Watharow</w:t>
            </w:r>
            <w:proofErr w:type="spellEnd"/>
            <w:r w:rsidRPr="00BD1342">
              <w:rPr>
                <w:rFonts w:ascii="Aptos" w:eastAsia="Aptos" w:hAnsi="Aptos" w:cs="Arial"/>
                <w:sz w:val="22"/>
                <w:szCs w:val="22"/>
                <w:lang w:val="en-GB"/>
              </w:rPr>
              <w:t xml:space="preserve"> &amp; Wayland 2022</w:t>
            </w:r>
          </w:p>
          <w:p w14:paraId="3D2DB798" w14:textId="77777777" w:rsidR="00BD1342" w:rsidRPr="00BD1342" w:rsidRDefault="00BD1342" w:rsidP="00BD1342">
            <w:pPr>
              <w:spacing w:before="60" w:after="60" w:line="240" w:lineRule="auto"/>
              <w:rPr>
                <w:rFonts w:ascii="Aptos" w:eastAsia="Aptos" w:hAnsi="Aptos" w:cs="Arial"/>
                <w:sz w:val="22"/>
                <w:szCs w:val="22"/>
                <w:lang w:val="en-GB"/>
              </w:rPr>
            </w:pPr>
          </w:p>
        </w:tc>
        <w:tc>
          <w:tcPr>
            <w:tcW w:w="2362" w:type="dxa"/>
          </w:tcPr>
          <w:p w14:paraId="1DE910BF"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Not described</w:t>
            </w:r>
          </w:p>
        </w:tc>
        <w:tc>
          <w:tcPr>
            <w:tcW w:w="2362" w:type="dxa"/>
          </w:tcPr>
          <w:p w14:paraId="113430A7"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Appreciative injury, retrospective case study/ observational/ethnography. Data also synthesized from conducting 18 interviews with Deafblind adults.</w:t>
            </w:r>
          </w:p>
        </w:tc>
        <w:tc>
          <w:tcPr>
            <w:tcW w:w="2362" w:type="dxa"/>
          </w:tcPr>
          <w:p w14:paraId="1A3B322A" w14:textId="77777777" w:rsidR="00BD1342" w:rsidRPr="00BD1342" w:rsidRDefault="00BD1342" w:rsidP="00BD1342">
            <w:pPr>
              <w:spacing w:before="60" w:after="60" w:line="240" w:lineRule="auto"/>
              <w:rPr>
                <w:rFonts w:ascii="Aptos" w:eastAsia="Aptos" w:hAnsi="Aptos" w:cs="Arial"/>
                <w:sz w:val="22"/>
                <w:szCs w:val="22"/>
                <w:lang w:val="en-GB"/>
              </w:rPr>
            </w:pPr>
            <w:proofErr w:type="gramStart"/>
            <w:r w:rsidRPr="00BD1342">
              <w:rPr>
                <w:rFonts w:ascii="Aptos" w:eastAsia="Aptos" w:hAnsi="Aptos" w:cs="Arial"/>
                <w:sz w:val="22"/>
                <w:szCs w:val="22"/>
                <w:lang w:val="en-GB"/>
              </w:rPr>
              <w:t>A number of</w:t>
            </w:r>
            <w:proofErr w:type="gramEnd"/>
            <w:r w:rsidRPr="00BD1342">
              <w:rPr>
                <w:rFonts w:ascii="Aptos" w:eastAsia="Aptos" w:hAnsi="Aptos" w:cs="Arial"/>
                <w:sz w:val="22"/>
                <w:szCs w:val="22"/>
                <w:lang w:val="en-GB"/>
              </w:rPr>
              <w:t xml:space="preserve"> strategies employed including multiple formats given for the information sheet; communication supports provided; safe space; information exchanged using communication preferences and allowing for multiple modes.</w:t>
            </w:r>
          </w:p>
        </w:tc>
        <w:tc>
          <w:tcPr>
            <w:tcW w:w="2362" w:type="dxa"/>
          </w:tcPr>
          <w:p w14:paraId="6C003146"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3 themes, each with three subthemes. </w:t>
            </w:r>
          </w:p>
          <w:p w14:paraId="5E6F3739"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1. Preparations: barrier removal, willingness to use multiple forms of accessibility, understanding authentic collaboration. </w:t>
            </w:r>
          </w:p>
          <w:p w14:paraId="6BA67C04"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2. Preparations: conducting accessible research requires embedding choice and control, interpreters, and accessible &amp; safe environment. </w:t>
            </w:r>
          </w:p>
          <w:p w14:paraId="6CF09E63"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3. Accessible research requires prioritizing person-centred approaches and reflexivity i.e., touch centricity and allowing visual and vibrotactile elements, assistive devices, </w:t>
            </w:r>
            <w:proofErr w:type="spellStart"/>
            <w:r w:rsidRPr="00BD1342">
              <w:rPr>
                <w:rFonts w:ascii="Aptos" w:eastAsia="Aptos" w:hAnsi="Aptos" w:cs="Arial"/>
                <w:sz w:val="22"/>
                <w:szCs w:val="22"/>
                <w:lang w:val="en-GB"/>
              </w:rPr>
              <w:t>story telling</w:t>
            </w:r>
            <w:proofErr w:type="spellEnd"/>
            <w:r w:rsidRPr="00BD1342">
              <w:rPr>
                <w:rFonts w:ascii="Aptos" w:eastAsia="Aptos" w:hAnsi="Aptos" w:cs="Arial"/>
                <w:sz w:val="22"/>
                <w:szCs w:val="22"/>
                <w:lang w:val="en-GB"/>
              </w:rPr>
              <w:t xml:space="preserve"> aids, multiple </w:t>
            </w:r>
            <w:proofErr w:type="gramStart"/>
            <w:r w:rsidRPr="00BD1342">
              <w:rPr>
                <w:rFonts w:ascii="Aptos" w:eastAsia="Aptos" w:hAnsi="Aptos" w:cs="Arial"/>
                <w:sz w:val="22"/>
                <w:szCs w:val="22"/>
                <w:lang w:val="en-GB"/>
              </w:rPr>
              <w:t>modes  to</w:t>
            </w:r>
            <w:proofErr w:type="gramEnd"/>
            <w:r w:rsidRPr="00BD1342">
              <w:rPr>
                <w:rFonts w:ascii="Aptos" w:eastAsia="Aptos" w:hAnsi="Aptos" w:cs="Arial"/>
                <w:sz w:val="22"/>
                <w:szCs w:val="22"/>
                <w:lang w:val="en-GB"/>
              </w:rPr>
              <w:t xml:space="preserve"> collect meaningful data (and record consent).</w:t>
            </w:r>
          </w:p>
        </w:tc>
        <w:tc>
          <w:tcPr>
            <w:tcW w:w="2362" w:type="dxa"/>
          </w:tcPr>
          <w:p w14:paraId="65F91C65"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1. Provide full accessibility across all communications. </w:t>
            </w:r>
          </w:p>
          <w:p w14:paraId="20C34634"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2. Lived experience researchers should be included in all projects. </w:t>
            </w:r>
          </w:p>
          <w:p w14:paraId="7E6907DD"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3. Early immersion in the community (i.e. first step) is needed to understand needs and requirements. </w:t>
            </w:r>
          </w:p>
          <w:p w14:paraId="1E5F945C"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4. Collaborate with people with lived experience across project i.e. to understand and address barriers to participating. </w:t>
            </w:r>
          </w:p>
          <w:p w14:paraId="53CB56A0"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5. Allow adequate (more time).</w:t>
            </w:r>
          </w:p>
        </w:tc>
      </w:tr>
      <w:tr w:rsidR="00BD1342" w:rsidRPr="00BD1342" w14:paraId="64D39B99" w14:textId="77777777" w:rsidTr="00E774CA">
        <w:tc>
          <w:tcPr>
            <w:tcW w:w="2362" w:type="dxa"/>
          </w:tcPr>
          <w:p w14:paraId="04B243C2"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Wittich et al. 2023</w:t>
            </w:r>
          </w:p>
          <w:p w14:paraId="45DE0AE5" w14:textId="77777777" w:rsidR="00BD1342" w:rsidRPr="00BD1342" w:rsidRDefault="00BD1342" w:rsidP="00BD1342">
            <w:pPr>
              <w:spacing w:before="60" w:after="60" w:line="240" w:lineRule="auto"/>
              <w:rPr>
                <w:rFonts w:ascii="Aptos" w:eastAsia="Aptos" w:hAnsi="Aptos" w:cs="Arial"/>
                <w:sz w:val="22"/>
                <w:szCs w:val="22"/>
                <w:lang w:val="en-GB"/>
              </w:rPr>
            </w:pPr>
          </w:p>
        </w:tc>
        <w:tc>
          <w:tcPr>
            <w:tcW w:w="2362" w:type="dxa"/>
          </w:tcPr>
          <w:p w14:paraId="7254CD7A"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Purposive, convenience</w:t>
            </w:r>
          </w:p>
          <w:p w14:paraId="3A5BBCCE"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(varied across individual cases)</w:t>
            </w:r>
          </w:p>
          <w:p w14:paraId="6C66EB7F"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 </w:t>
            </w:r>
          </w:p>
          <w:p w14:paraId="43655DF9" w14:textId="77777777" w:rsidR="00BD1342" w:rsidRPr="00BD1342" w:rsidRDefault="00BD1342" w:rsidP="00BD1342">
            <w:pPr>
              <w:spacing w:before="60" w:after="60" w:line="240" w:lineRule="auto"/>
              <w:rPr>
                <w:rFonts w:ascii="Aptos" w:eastAsia="Aptos" w:hAnsi="Aptos" w:cs="Arial"/>
                <w:sz w:val="22"/>
                <w:szCs w:val="22"/>
                <w:lang w:val="en-GB"/>
              </w:rPr>
            </w:pPr>
          </w:p>
        </w:tc>
        <w:tc>
          <w:tcPr>
            <w:tcW w:w="2362" w:type="dxa"/>
          </w:tcPr>
          <w:p w14:paraId="22D2F698" w14:textId="77777777" w:rsidR="00BD1342" w:rsidRPr="00BD1342" w:rsidRDefault="00BD1342" w:rsidP="00BD1342">
            <w:pPr>
              <w:spacing w:before="60" w:after="60" w:line="240" w:lineRule="auto"/>
              <w:rPr>
                <w:rFonts w:ascii="Aptos" w:eastAsia="Aptos" w:hAnsi="Aptos" w:cs="Arial"/>
                <w:color w:val="000000"/>
                <w:sz w:val="22"/>
                <w:szCs w:val="22"/>
                <w:lang w:val="en-GB"/>
              </w:rPr>
            </w:pPr>
            <w:r w:rsidRPr="00BD1342">
              <w:rPr>
                <w:rFonts w:ascii="Aptos" w:eastAsia="Aptos" w:hAnsi="Aptos" w:cs="Arial"/>
                <w:color w:val="000000"/>
                <w:sz w:val="22"/>
                <w:szCs w:val="22"/>
                <w:lang w:val="en-GB"/>
              </w:rPr>
              <w:t>Appreciative inquiry, retrospective case study/ethnography with observation; textual narrative synthesis; semi-structured focus group discussions; stakeholder input.</w:t>
            </w:r>
          </w:p>
          <w:p w14:paraId="124AF698"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color w:val="000000"/>
                <w:sz w:val="22"/>
                <w:szCs w:val="22"/>
                <w:lang w:val="en-GB"/>
              </w:rPr>
              <w:t xml:space="preserve">(184 participants with </w:t>
            </w:r>
            <w:proofErr w:type="spellStart"/>
            <w:r w:rsidRPr="00BD1342">
              <w:rPr>
                <w:rFonts w:ascii="Aptos" w:eastAsia="Aptos" w:hAnsi="Aptos" w:cs="Arial"/>
                <w:color w:val="000000"/>
                <w:sz w:val="22"/>
                <w:szCs w:val="22"/>
                <w:lang w:val="en-GB"/>
              </w:rPr>
              <w:t>deafblindness</w:t>
            </w:r>
            <w:proofErr w:type="spellEnd"/>
            <w:r w:rsidRPr="00BD1342">
              <w:rPr>
                <w:rFonts w:ascii="Aptos" w:eastAsia="Aptos" w:hAnsi="Aptos" w:cs="Arial"/>
                <w:color w:val="000000"/>
                <w:sz w:val="22"/>
                <w:szCs w:val="22"/>
                <w:lang w:val="en-GB"/>
              </w:rPr>
              <w:t>, 12 researchers, 2 community support groups)</w:t>
            </w:r>
          </w:p>
        </w:tc>
        <w:tc>
          <w:tcPr>
            <w:tcW w:w="2362" w:type="dxa"/>
          </w:tcPr>
          <w:p w14:paraId="60E2E2BC"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The process involved invitation through disability support group (community research partner). Not applicable as no participants directly recruited for this study. However, they describe their usual practice which includes Table 2 actions.</w:t>
            </w:r>
          </w:p>
          <w:p w14:paraId="7B212501"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1. Research team provides accessible info to community partner. </w:t>
            </w:r>
          </w:p>
          <w:p w14:paraId="419587FB"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2. Community partner identified eligible candidates. </w:t>
            </w:r>
          </w:p>
          <w:p w14:paraId="208E8253"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3. Initial contact made by community partners. 4. Shared decision around interest with candidate to have their details shared. </w:t>
            </w:r>
          </w:p>
          <w:p w14:paraId="162A7156"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5. Shared contact details with research team. </w:t>
            </w:r>
          </w:p>
          <w:p w14:paraId="754AB925"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6. trained research member contacts candidate. </w:t>
            </w:r>
          </w:p>
          <w:p w14:paraId="4EADB687"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7. Decision to undergo informed consent process - leading into outcomes in Table 2. Adaptions to consent process: procedural adaptations i.e., more time </w:t>
            </w:r>
            <w:proofErr w:type="gramStart"/>
            <w:r w:rsidRPr="00BD1342">
              <w:rPr>
                <w:rFonts w:ascii="Aptos" w:eastAsia="Aptos" w:hAnsi="Aptos" w:cs="Arial"/>
                <w:sz w:val="22"/>
                <w:szCs w:val="22"/>
                <w:lang w:val="en-GB"/>
              </w:rPr>
              <w:t>allowed,</w:t>
            </w:r>
            <w:proofErr w:type="gramEnd"/>
            <w:r w:rsidRPr="00BD1342">
              <w:rPr>
                <w:rFonts w:ascii="Aptos" w:eastAsia="Aptos" w:hAnsi="Aptos" w:cs="Arial"/>
                <w:sz w:val="22"/>
                <w:szCs w:val="22"/>
                <w:lang w:val="en-GB"/>
              </w:rPr>
              <w:t xml:space="preserve"> information across multiple timepoints (6 options), preparations for making the consent form accessible (9 options) and adapted informed consent options (8).</w:t>
            </w:r>
          </w:p>
        </w:tc>
        <w:tc>
          <w:tcPr>
            <w:tcW w:w="2362" w:type="dxa"/>
          </w:tcPr>
          <w:p w14:paraId="79403D12"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 xml:space="preserve">Pooled data across 3 methods: 6 process steps for engaging with persons with </w:t>
            </w:r>
            <w:proofErr w:type="spellStart"/>
            <w:r w:rsidRPr="00BD1342">
              <w:rPr>
                <w:rFonts w:ascii="Aptos" w:eastAsia="Aptos" w:hAnsi="Aptos" w:cs="Arial"/>
                <w:sz w:val="22"/>
                <w:szCs w:val="22"/>
                <w:lang w:val="en-GB"/>
              </w:rPr>
              <w:t>deafblindess</w:t>
            </w:r>
            <w:proofErr w:type="spellEnd"/>
            <w:r w:rsidRPr="00BD1342">
              <w:rPr>
                <w:rFonts w:ascii="Aptos" w:eastAsia="Aptos" w:hAnsi="Aptos" w:cs="Arial"/>
                <w:sz w:val="22"/>
                <w:szCs w:val="22"/>
                <w:lang w:val="en-GB"/>
              </w:rPr>
              <w:t xml:space="preserve"> for research participation, with decisions made at each step (*). The process requires collaboration among the members of the research team, staff of community partners and support agencies, persons with </w:t>
            </w:r>
            <w:proofErr w:type="spellStart"/>
            <w:r w:rsidRPr="00BD1342">
              <w:rPr>
                <w:rFonts w:ascii="Aptos" w:eastAsia="Aptos" w:hAnsi="Aptos" w:cs="Arial"/>
                <w:sz w:val="22"/>
                <w:szCs w:val="22"/>
                <w:lang w:val="en-GB"/>
              </w:rPr>
              <w:t>deafblindness</w:t>
            </w:r>
            <w:proofErr w:type="spellEnd"/>
            <w:r w:rsidRPr="00BD1342">
              <w:rPr>
                <w:rFonts w:ascii="Aptos" w:eastAsia="Aptos" w:hAnsi="Aptos" w:cs="Arial"/>
                <w:sz w:val="22"/>
                <w:szCs w:val="22"/>
                <w:lang w:val="en-GB"/>
              </w:rPr>
              <w:t>, trusted supporters and interpreters. These processes lead into the informed consent process, fostering opportunities to prepare the participant, preparations for making the informed consent form accessible, and adapting consent format options.</w:t>
            </w:r>
          </w:p>
        </w:tc>
        <w:tc>
          <w:tcPr>
            <w:tcW w:w="2362" w:type="dxa"/>
          </w:tcPr>
          <w:p w14:paraId="3073C830" w14:textId="77777777" w:rsidR="00BD1342" w:rsidRPr="00BD1342" w:rsidRDefault="00BD1342" w:rsidP="00BD1342">
            <w:pPr>
              <w:spacing w:before="60" w:after="60" w:line="240" w:lineRule="auto"/>
              <w:rPr>
                <w:rFonts w:ascii="Aptos" w:eastAsia="Aptos" w:hAnsi="Aptos" w:cs="Arial"/>
                <w:sz w:val="22"/>
                <w:szCs w:val="22"/>
                <w:lang w:val="en-GB"/>
              </w:rPr>
            </w:pPr>
            <w:r w:rsidRPr="00BD1342">
              <w:rPr>
                <w:rFonts w:ascii="Aptos" w:eastAsia="Aptos" w:hAnsi="Aptos" w:cs="Arial"/>
                <w:sz w:val="22"/>
                <w:szCs w:val="22"/>
                <w:lang w:val="en-GB"/>
              </w:rPr>
              <w:t>Based on practical experience of the research group: 8 recruitment and invitation steps, 6 preparations and procedural adaptions, 9 preparations for making the consent form content accessible, and 8 adapted consent format options are proposed. 4 areas to cover in researcher training also recommended.</w:t>
            </w:r>
          </w:p>
        </w:tc>
      </w:tr>
    </w:tbl>
    <w:p w14:paraId="38F8E9BD" w14:textId="77777777" w:rsidR="00E774CA" w:rsidRPr="00BD1342" w:rsidRDefault="00E774CA" w:rsidP="00E774CA">
      <w:pPr>
        <w:spacing w:before="60" w:after="60" w:line="240" w:lineRule="auto"/>
        <w:rPr>
          <w:rFonts w:ascii="Aptos" w:eastAsia="Aptos" w:hAnsi="Aptos" w:cs="Arial"/>
          <w:kern w:val="2"/>
          <w:sz w:val="22"/>
          <w:szCs w:val="22"/>
          <w:lang w:eastAsia="en-US"/>
        </w:rPr>
      </w:pPr>
      <w:r w:rsidRPr="00BD1342">
        <w:rPr>
          <w:rFonts w:ascii="Aptos" w:eastAsia="Aptos" w:hAnsi="Aptos" w:cs="Arial"/>
          <w:kern w:val="2"/>
          <w:sz w:val="22"/>
          <w:szCs w:val="22"/>
          <w:lang w:val="en-GB" w:eastAsia="en-US"/>
        </w:rPr>
        <w:t xml:space="preserve">Footnote: Terminology reflects what is used in included studies. </w:t>
      </w:r>
      <w:r w:rsidRPr="00BD1342">
        <w:rPr>
          <w:rFonts w:ascii="Aptos" w:eastAsia="Aptos" w:hAnsi="Aptos" w:cs="Arial"/>
          <w:kern w:val="2"/>
          <w:sz w:val="22"/>
          <w:szCs w:val="22"/>
          <w:lang w:eastAsia="en-US"/>
        </w:rPr>
        <w:t>Lowercase “deafblind” refers to diverse vision and hearing differences and uppercase “Deafblind” to cultural identity (“d/Deafblind” acknowledges both which is used in main text).</w:t>
      </w:r>
    </w:p>
    <w:p w14:paraId="16F3739D" w14:textId="77777777" w:rsidR="00EE4FAE" w:rsidRPr="00E774CA" w:rsidRDefault="00EE4FAE" w:rsidP="00EE4FAE">
      <w:pPr>
        <w:spacing w:before="60" w:after="60" w:line="240" w:lineRule="auto"/>
        <w:rPr>
          <w:rFonts w:ascii="Aptos" w:eastAsia="Aptos" w:hAnsi="Aptos" w:cs="Arial"/>
          <w:kern w:val="2"/>
          <w:sz w:val="22"/>
          <w:szCs w:val="22"/>
          <w:highlight w:val="yellow"/>
          <w:lang w:eastAsia="en-US"/>
        </w:rPr>
      </w:pPr>
    </w:p>
    <w:p w14:paraId="3F2791F8" w14:textId="3846F3C6" w:rsidR="00C678B7" w:rsidRPr="00F464C2" w:rsidRDefault="00C678B7" w:rsidP="00C678B7">
      <w:pPr>
        <w:rPr>
          <w:rFonts w:asciiTheme="minorHAnsi" w:hAnsiTheme="minorHAnsi" w:cs="Arial"/>
          <w:b/>
          <w:bCs/>
          <w:sz w:val="24"/>
          <w:lang w:val="en-US"/>
        </w:rPr>
      </w:pPr>
      <w:r w:rsidRPr="00F464C2">
        <w:rPr>
          <w:rFonts w:asciiTheme="minorHAnsi" w:hAnsiTheme="minorHAnsi" w:cs="Arial"/>
          <w:b/>
          <w:bCs/>
          <w:sz w:val="24"/>
          <w:lang w:val="en-US"/>
        </w:rPr>
        <w:t>Table</w:t>
      </w:r>
      <w:r>
        <w:rPr>
          <w:rFonts w:asciiTheme="minorHAnsi" w:hAnsiTheme="minorHAnsi" w:cs="Arial"/>
          <w:b/>
          <w:bCs/>
          <w:sz w:val="24"/>
          <w:lang w:val="en-US"/>
        </w:rPr>
        <w:t xml:space="preserve"> 3</w:t>
      </w:r>
      <w:r w:rsidRPr="00F464C2">
        <w:rPr>
          <w:rFonts w:asciiTheme="minorHAnsi" w:hAnsiTheme="minorHAnsi" w:cs="Arial"/>
          <w:b/>
          <w:bCs/>
          <w:sz w:val="24"/>
          <w:lang w:val="en-US"/>
        </w:rPr>
        <w:t xml:space="preserve">. </w:t>
      </w:r>
      <w:r w:rsidR="002C0965" w:rsidRPr="002C0965">
        <w:rPr>
          <w:rFonts w:asciiTheme="minorHAnsi" w:hAnsiTheme="minorHAnsi" w:cs="Arial"/>
          <w:b/>
          <w:bCs/>
          <w:sz w:val="24"/>
          <w:lang w:val="en-US"/>
        </w:rPr>
        <w:t>Main findings from the systematic review: 8 Principles with level of confidence and studies contributing</w:t>
      </w:r>
      <w:r w:rsidR="002C0965">
        <w:rPr>
          <w:rFonts w:asciiTheme="minorHAnsi" w:hAnsiTheme="minorHAnsi" w:cs="Arial"/>
          <w:b/>
          <w:bCs/>
          <w:sz w:val="24"/>
          <w:lang w:val="en-US"/>
        </w:rPr>
        <w:t>.</w:t>
      </w:r>
    </w:p>
    <w:tbl>
      <w:tblPr>
        <w:tblStyle w:val="TableGrid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250"/>
        <w:gridCol w:w="3224"/>
        <w:gridCol w:w="3233"/>
        <w:gridCol w:w="3223"/>
      </w:tblGrid>
      <w:tr w:rsidR="00C678B7" w:rsidRPr="00A16BBD" w14:paraId="4AEA655C" w14:textId="77777777" w:rsidTr="0042751C">
        <w:tc>
          <w:tcPr>
            <w:tcW w:w="3292" w:type="dxa"/>
          </w:tcPr>
          <w:p w14:paraId="6C17B3ED" w14:textId="77777777" w:rsidR="00C678B7" w:rsidRPr="00203F50" w:rsidRDefault="00C678B7" w:rsidP="0042751C">
            <w:pPr>
              <w:spacing w:before="0" w:after="0"/>
              <w:rPr>
                <w:rFonts w:ascii="Aptos" w:hAnsi="Aptos" w:cs="Arial"/>
                <w:b/>
                <w:bCs/>
                <w:sz w:val="22"/>
                <w:szCs w:val="22"/>
                <w:lang w:val="en-US"/>
              </w:rPr>
            </w:pPr>
            <w:r w:rsidRPr="00203F50">
              <w:rPr>
                <w:rFonts w:ascii="Aptos" w:hAnsi="Aptos" w:cs="Arial"/>
                <w:b/>
                <w:bCs/>
                <w:sz w:val="22"/>
                <w:szCs w:val="22"/>
                <w:lang w:val="en-US"/>
              </w:rPr>
              <w:t>Main Finding</w:t>
            </w:r>
          </w:p>
        </w:tc>
        <w:tc>
          <w:tcPr>
            <w:tcW w:w="3292" w:type="dxa"/>
          </w:tcPr>
          <w:p w14:paraId="645E8D52" w14:textId="77777777" w:rsidR="00C678B7" w:rsidRPr="00203F50" w:rsidRDefault="00C678B7" w:rsidP="0042751C">
            <w:pPr>
              <w:spacing w:before="0" w:after="0"/>
              <w:rPr>
                <w:rFonts w:ascii="Aptos" w:hAnsi="Aptos" w:cs="Arial"/>
                <w:b/>
                <w:bCs/>
                <w:sz w:val="22"/>
                <w:szCs w:val="22"/>
                <w:lang w:val="en-US"/>
              </w:rPr>
            </w:pPr>
            <w:r w:rsidRPr="00203F50">
              <w:rPr>
                <w:rFonts w:ascii="Aptos" w:hAnsi="Aptos" w:cs="Segoe UI"/>
                <w:b/>
                <w:bCs/>
                <w:sz w:val="22"/>
                <w:szCs w:val="22"/>
              </w:rPr>
              <w:t>GRADE CERQual Assessment of Confidence in the evidence (overall rating)</w:t>
            </w:r>
          </w:p>
        </w:tc>
        <w:tc>
          <w:tcPr>
            <w:tcW w:w="3292" w:type="dxa"/>
          </w:tcPr>
          <w:p w14:paraId="1A60774E" w14:textId="77777777" w:rsidR="00C678B7" w:rsidRPr="00203F50" w:rsidRDefault="00C678B7" w:rsidP="0042751C">
            <w:pPr>
              <w:spacing w:before="0" w:after="0"/>
              <w:rPr>
                <w:rFonts w:ascii="Aptos" w:hAnsi="Aptos" w:cs="Arial"/>
                <w:b/>
                <w:bCs/>
                <w:sz w:val="22"/>
                <w:szCs w:val="22"/>
                <w:lang w:val="en-US"/>
              </w:rPr>
            </w:pPr>
            <w:r w:rsidRPr="00203F50">
              <w:rPr>
                <w:rFonts w:ascii="Aptos" w:hAnsi="Aptos" w:cs="Segoe UI"/>
                <w:b/>
                <w:bCs/>
                <w:sz w:val="22"/>
                <w:szCs w:val="22"/>
              </w:rPr>
              <w:t>Explanation of GRADE CERQual Assessment</w:t>
            </w:r>
          </w:p>
        </w:tc>
        <w:tc>
          <w:tcPr>
            <w:tcW w:w="3292" w:type="dxa"/>
          </w:tcPr>
          <w:p w14:paraId="01CDB020" w14:textId="77777777" w:rsidR="00C678B7" w:rsidRPr="00203F50" w:rsidRDefault="00C678B7" w:rsidP="0042751C">
            <w:pPr>
              <w:spacing w:before="0" w:after="0"/>
              <w:rPr>
                <w:rFonts w:ascii="Aptos" w:hAnsi="Aptos" w:cs="Arial"/>
                <w:b/>
                <w:bCs/>
                <w:sz w:val="22"/>
                <w:szCs w:val="22"/>
                <w:lang w:val="en-US"/>
              </w:rPr>
            </w:pPr>
            <w:r w:rsidRPr="00203F50">
              <w:rPr>
                <w:rFonts w:ascii="Aptos" w:hAnsi="Aptos" w:cs="Segoe UI"/>
                <w:b/>
                <w:bCs/>
                <w:sz w:val="22"/>
                <w:szCs w:val="22"/>
              </w:rPr>
              <w:t>Studies contributing to the finding</w:t>
            </w:r>
          </w:p>
        </w:tc>
      </w:tr>
      <w:tr w:rsidR="00C678B7" w:rsidRPr="00A16BBD" w14:paraId="5D49A0FB" w14:textId="77777777" w:rsidTr="0042751C">
        <w:tc>
          <w:tcPr>
            <w:tcW w:w="3292" w:type="dxa"/>
          </w:tcPr>
          <w:p w14:paraId="1D3F5AEF" w14:textId="77777777" w:rsidR="00C678B7" w:rsidRPr="00203F50" w:rsidRDefault="00C678B7" w:rsidP="0042751C">
            <w:pPr>
              <w:spacing w:before="0" w:after="0"/>
              <w:rPr>
                <w:rFonts w:ascii="Aptos" w:hAnsi="Aptos"/>
                <w:b/>
                <w:bCs/>
                <w:sz w:val="22"/>
                <w:szCs w:val="22"/>
              </w:rPr>
            </w:pPr>
            <w:r w:rsidRPr="00203F50">
              <w:rPr>
                <w:rFonts w:ascii="Aptos" w:hAnsi="Aptos"/>
                <w:b/>
                <w:bCs/>
                <w:sz w:val="22"/>
                <w:szCs w:val="22"/>
              </w:rPr>
              <w:t>Principle 1: Foster inclusion through a comprehensive audit and delivery of access needs</w:t>
            </w:r>
          </w:p>
          <w:p w14:paraId="22904B82" w14:textId="77777777" w:rsidR="00C678B7" w:rsidRPr="00203F50" w:rsidRDefault="00C678B7" w:rsidP="0042751C">
            <w:pPr>
              <w:spacing w:before="0" w:after="0"/>
              <w:rPr>
                <w:rFonts w:ascii="Aptos" w:hAnsi="Aptos"/>
                <w:b/>
                <w:bCs/>
                <w:sz w:val="22"/>
                <w:szCs w:val="22"/>
              </w:rPr>
            </w:pPr>
          </w:p>
        </w:tc>
        <w:tc>
          <w:tcPr>
            <w:tcW w:w="3292" w:type="dxa"/>
          </w:tcPr>
          <w:p w14:paraId="14AD750C" w14:textId="77777777" w:rsidR="00C678B7" w:rsidRPr="00203F50" w:rsidRDefault="00C678B7" w:rsidP="0042751C">
            <w:pPr>
              <w:spacing w:before="0" w:after="0"/>
              <w:rPr>
                <w:rFonts w:ascii="Aptos" w:hAnsi="Aptos" w:cs="Segoe UI"/>
                <w:b/>
                <w:bCs/>
                <w:sz w:val="22"/>
                <w:szCs w:val="22"/>
              </w:rPr>
            </w:pPr>
            <w:r w:rsidRPr="00203F50">
              <w:rPr>
                <w:rFonts w:ascii="Aptos" w:hAnsi="Aptos" w:cs="Segoe UI"/>
                <w:b/>
                <w:bCs/>
                <w:sz w:val="22"/>
                <w:szCs w:val="22"/>
              </w:rPr>
              <w:t>High</w:t>
            </w:r>
          </w:p>
        </w:tc>
        <w:tc>
          <w:tcPr>
            <w:tcW w:w="3292" w:type="dxa"/>
          </w:tcPr>
          <w:p w14:paraId="5D701763" w14:textId="09936112" w:rsidR="00C678B7" w:rsidRPr="00203F50" w:rsidRDefault="005742A1" w:rsidP="0042751C">
            <w:pPr>
              <w:spacing w:before="0" w:after="0"/>
              <w:rPr>
                <w:rFonts w:ascii="Aptos" w:hAnsi="Aptos" w:cs="Arial"/>
                <w:sz w:val="22"/>
                <w:szCs w:val="22"/>
                <w:lang w:val="en-US"/>
              </w:rPr>
            </w:pPr>
            <w:r w:rsidRPr="00203F50">
              <w:rPr>
                <w:rFonts w:ascii="Aptos" w:hAnsi="Aptos" w:cs="Arial"/>
                <w:sz w:val="22"/>
                <w:szCs w:val="22"/>
                <w:lang w:val="en-US"/>
              </w:rPr>
              <w:t>Total 9 studies:</w:t>
            </w:r>
            <w:r w:rsidR="00C678B7" w:rsidRPr="00203F50">
              <w:rPr>
                <w:rFonts w:ascii="Aptos" w:hAnsi="Aptos" w:cs="Arial"/>
                <w:sz w:val="22"/>
                <w:szCs w:val="22"/>
                <w:lang w:val="en-US"/>
              </w:rPr>
              <w:t xml:space="preserve"> 7 had high methodological ratings across all criteria; 2 studies had minor reporting concerns and ‘partial’ clarity around sampling strategy and analysis. Data relevance and adequacy </w:t>
            </w:r>
            <w:proofErr w:type="gramStart"/>
            <w:r w:rsidR="00C678B7" w:rsidRPr="00203F50">
              <w:rPr>
                <w:rFonts w:ascii="Aptos" w:hAnsi="Aptos" w:cs="Arial"/>
                <w:sz w:val="22"/>
                <w:szCs w:val="22"/>
                <w:lang w:val="en-US"/>
              </w:rPr>
              <w:t>was</w:t>
            </w:r>
            <w:proofErr w:type="gramEnd"/>
            <w:r w:rsidR="00C678B7" w:rsidRPr="00203F50">
              <w:rPr>
                <w:rFonts w:ascii="Aptos" w:hAnsi="Aptos" w:cs="Arial"/>
                <w:sz w:val="22"/>
                <w:szCs w:val="22"/>
                <w:lang w:val="en-US"/>
              </w:rPr>
              <w:t xml:space="preserve"> high, and coherence moderate. </w:t>
            </w:r>
          </w:p>
        </w:tc>
        <w:tc>
          <w:tcPr>
            <w:tcW w:w="3292" w:type="dxa"/>
          </w:tcPr>
          <w:p w14:paraId="303E1C7D"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Ducket &amp; Pratt 2010</w:t>
            </w:r>
          </w:p>
          <w:p w14:paraId="59D7B3FC"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Young et al. 2016</w:t>
            </w:r>
          </w:p>
          <w:p w14:paraId="4320BCD0"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Roy et al. 2018</w:t>
            </w:r>
          </w:p>
          <w:p w14:paraId="59F8517A"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Anderson et al. 2020</w:t>
            </w:r>
          </w:p>
          <w:p w14:paraId="265A8DF6"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Jaiswal et al. 2020</w:t>
            </w:r>
          </w:p>
          <w:p w14:paraId="7B04EBA2"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Unger et al. 2021</w:t>
            </w:r>
          </w:p>
          <w:p w14:paraId="06D09AD2" w14:textId="77777777" w:rsidR="00C678B7" w:rsidRPr="00203F50" w:rsidRDefault="00C678B7" w:rsidP="0042751C">
            <w:pPr>
              <w:spacing w:before="0" w:after="0"/>
              <w:rPr>
                <w:rFonts w:ascii="Aptos" w:hAnsi="Aptos" w:cs="Arial"/>
                <w:sz w:val="22"/>
                <w:szCs w:val="22"/>
                <w:lang w:val="en-US"/>
              </w:rPr>
            </w:pPr>
            <w:proofErr w:type="spellStart"/>
            <w:r w:rsidRPr="00203F50">
              <w:rPr>
                <w:rFonts w:ascii="Aptos" w:hAnsi="Aptos" w:cs="Arial"/>
                <w:sz w:val="22"/>
                <w:szCs w:val="22"/>
                <w:lang w:val="en-US"/>
              </w:rPr>
              <w:t>Watharow</w:t>
            </w:r>
            <w:proofErr w:type="spellEnd"/>
            <w:r w:rsidRPr="00203F50">
              <w:rPr>
                <w:rFonts w:ascii="Aptos" w:hAnsi="Aptos" w:cs="Arial"/>
                <w:sz w:val="22"/>
                <w:szCs w:val="22"/>
                <w:lang w:val="en-US"/>
              </w:rPr>
              <w:t xml:space="preserve"> &amp; Wayland 2022</w:t>
            </w:r>
          </w:p>
          <w:p w14:paraId="0BD00C3C"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Wittich et al. 2023</w:t>
            </w:r>
          </w:p>
          <w:p w14:paraId="47721823"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McGrath et al. 2025</w:t>
            </w:r>
          </w:p>
          <w:p w14:paraId="7F14D559" w14:textId="77777777" w:rsidR="00C678B7" w:rsidRPr="00203F50" w:rsidRDefault="00C678B7" w:rsidP="0042751C">
            <w:pPr>
              <w:spacing w:before="0" w:after="0"/>
              <w:rPr>
                <w:rFonts w:ascii="Aptos" w:hAnsi="Aptos" w:cs="Arial"/>
                <w:sz w:val="22"/>
                <w:szCs w:val="22"/>
                <w:lang w:val="en-US"/>
              </w:rPr>
            </w:pPr>
          </w:p>
        </w:tc>
      </w:tr>
      <w:tr w:rsidR="00C678B7" w:rsidRPr="00A16BBD" w14:paraId="0BCE475A" w14:textId="77777777" w:rsidTr="0042751C">
        <w:tc>
          <w:tcPr>
            <w:tcW w:w="3292" w:type="dxa"/>
          </w:tcPr>
          <w:p w14:paraId="6CB19B84" w14:textId="77777777" w:rsidR="00C678B7" w:rsidRPr="00203F50" w:rsidRDefault="00C678B7" w:rsidP="0042751C">
            <w:pPr>
              <w:spacing w:before="0" w:after="0"/>
              <w:rPr>
                <w:rFonts w:ascii="Aptos" w:hAnsi="Aptos" w:cs="Arial"/>
                <w:b/>
                <w:bCs/>
                <w:sz w:val="22"/>
                <w:szCs w:val="22"/>
                <w:lang w:val="en-US"/>
              </w:rPr>
            </w:pPr>
            <w:r w:rsidRPr="00203F50">
              <w:rPr>
                <w:rFonts w:ascii="Aptos" w:hAnsi="Aptos" w:cs="Arial"/>
                <w:b/>
                <w:bCs/>
                <w:sz w:val="22"/>
                <w:szCs w:val="22"/>
                <w:lang w:val="en-US"/>
              </w:rPr>
              <w:t>Principle 2: Engage support and advocacy organizations for cultural competency and connection</w:t>
            </w:r>
          </w:p>
        </w:tc>
        <w:tc>
          <w:tcPr>
            <w:tcW w:w="3292" w:type="dxa"/>
          </w:tcPr>
          <w:p w14:paraId="74A80B17" w14:textId="77777777" w:rsidR="00C678B7" w:rsidRPr="00203F50" w:rsidRDefault="00C678B7" w:rsidP="0042751C">
            <w:pPr>
              <w:spacing w:before="0" w:after="0"/>
              <w:rPr>
                <w:rFonts w:ascii="Aptos" w:hAnsi="Aptos" w:cs="Arial"/>
                <w:b/>
                <w:bCs/>
                <w:sz w:val="22"/>
                <w:szCs w:val="22"/>
                <w:lang w:val="en-US"/>
              </w:rPr>
            </w:pPr>
            <w:r w:rsidRPr="00203F50">
              <w:rPr>
                <w:rFonts w:ascii="Aptos" w:hAnsi="Aptos" w:cs="Arial"/>
                <w:b/>
                <w:bCs/>
                <w:sz w:val="22"/>
                <w:szCs w:val="22"/>
                <w:lang w:val="en-US"/>
              </w:rPr>
              <w:t>High</w:t>
            </w:r>
          </w:p>
        </w:tc>
        <w:tc>
          <w:tcPr>
            <w:tcW w:w="3292" w:type="dxa"/>
          </w:tcPr>
          <w:p w14:paraId="6DBE602C" w14:textId="5CDB3D5A" w:rsidR="00C678B7" w:rsidRPr="00203F50" w:rsidRDefault="005742A1" w:rsidP="0042751C">
            <w:pPr>
              <w:spacing w:before="0" w:after="0"/>
              <w:rPr>
                <w:rFonts w:ascii="Aptos" w:hAnsi="Aptos" w:cs="Arial"/>
                <w:sz w:val="22"/>
                <w:szCs w:val="22"/>
                <w:lang w:val="en-US"/>
              </w:rPr>
            </w:pPr>
            <w:r w:rsidRPr="00203F50">
              <w:rPr>
                <w:rFonts w:ascii="Aptos" w:hAnsi="Aptos" w:cs="Arial"/>
                <w:sz w:val="22"/>
                <w:szCs w:val="22"/>
                <w:lang w:val="en-US"/>
              </w:rPr>
              <w:t>Total 11 studies:</w:t>
            </w:r>
            <w:r w:rsidR="00C678B7" w:rsidRPr="00203F50">
              <w:rPr>
                <w:rFonts w:ascii="Aptos" w:hAnsi="Aptos" w:cs="Arial"/>
                <w:sz w:val="22"/>
                <w:szCs w:val="22"/>
                <w:lang w:val="en-US"/>
              </w:rPr>
              <w:t xml:space="preserve"> 8 had high methodological ratings across all criteria, 3 studies had minor reporting concerns mainly with respect to sampling strategy. Data relevance, and coherence rated high, and data adequacy was moderate.</w:t>
            </w:r>
          </w:p>
        </w:tc>
        <w:tc>
          <w:tcPr>
            <w:tcW w:w="3292" w:type="dxa"/>
          </w:tcPr>
          <w:p w14:paraId="3B7C6AB3"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Williams 2002</w:t>
            </w:r>
          </w:p>
          <w:p w14:paraId="2F163277"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Ducket &amp; Pratt 2010</w:t>
            </w:r>
          </w:p>
          <w:p w14:paraId="019AC61E"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Singleton et al. 2014</w:t>
            </w:r>
          </w:p>
          <w:p w14:paraId="29AF19EF"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Young et al. 2016</w:t>
            </w:r>
          </w:p>
          <w:p w14:paraId="3D829FAC"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Roy et al. 2018</w:t>
            </w:r>
          </w:p>
          <w:p w14:paraId="57345127"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Skilton et al. 2018</w:t>
            </w:r>
          </w:p>
          <w:p w14:paraId="0D1A283A"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Sabatello et al. 2019</w:t>
            </w:r>
          </w:p>
          <w:p w14:paraId="3F85F17E"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Jaiswal et al. 2020</w:t>
            </w:r>
          </w:p>
          <w:p w14:paraId="108E4000"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Garofalo et al. 2022</w:t>
            </w:r>
          </w:p>
          <w:p w14:paraId="3C39EF94"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 xml:space="preserve">Kim &amp; </w:t>
            </w:r>
            <w:proofErr w:type="spellStart"/>
            <w:r w:rsidRPr="00203F50">
              <w:rPr>
                <w:rFonts w:ascii="Aptos" w:hAnsi="Aptos" w:cs="Arial"/>
                <w:sz w:val="22"/>
                <w:szCs w:val="22"/>
                <w:lang w:val="en-US"/>
              </w:rPr>
              <w:t>Sutharson</w:t>
            </w:r>
            <w:proofErr w:type="spellEnd"/>
            <w:r w:rsidRPr="00203F50">
              <w:rPr>
                <w:rFonts w:ascii="Aptos" w:hAnsi="Aptos" w:cs="Arial"/>
                <w:sz w:val="22"/>
                <w:szCs w:val="22"/>
                <w:lang w:val="en-US"/>
              </w:rPr>
              <w:t xml:space="preserve"> 2022</w:t>
            </w:r>
          </w:p>
          <w:p w14:paraId="15A8E7B8"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Wittich et al. 2023</w:t>
            </w:r>
          </w:p>
        </w:tc>
      </w:tr>
      <w:tr w:rsidR="00C678B7" w:rsidRPr="00A16BBD" w14:paraId="11656636" w14:textId="77777777" w:rsidTr="0042751C">
        <w:tc>
          <w:tcPr>
            <w:tcW w:w="3292" w:type="dxa"/>
          </w:tcPr>
          <w:p w14:paraId="03940271" w14:textId="77777777" w:rsidR="00C678B7" w:rsidRPr="00203F50" w:rsidRDefault="00C678B7" w:rsidP="0042751C">
            <w:pPr>
              <w:spacing w:before="0" w:after="0"/>
              <w:rPr>
                <w:rFonts w:ascii="Aptos" w:hAnsi="Aptos"/>
                <w:b/>
                <w:bCs/>
                <w:sz w:val="22"/>
                <w:szCs w:val="22"/>
              </w:rPr>
            </w:pPr>
            <w:r w:rsidRPr="00203F50">
              <w:rPr>
                <w:rFonts w:ascii="Aptos" w:hAnsi="Aptos"/>
                <w:b/>
                <w:bCs/>
                <w:sz w:val="22"/>
                <w:szCs w:val="22"/>
              </w:rPr>
              <w:t>Principle 3: Develop trust and safety through having people with lived experience as part of the project team.</w:t>
            </w:r>
          </w:p>
          <w:p w14:paraId="602E6C1C" w14:textId="77777777" w:rsidR="00C678B7" w:rsidRPr="00203F50" w:rsidRDefault="00C678B7" w:rsidP="0042751C">
            <w:pPr>
              <w:spacing w:before="0" w:after="0"/>
              <w:rPr>
                <w:rFonts w:ascii="Aptos" w:hAnsi="Aptos"/>
                <w:b/>
                <w:bCs/>
                <w:sz w:val="22"/>
                <w:szCs w:val="22"/>
              </w:rPr>
            </w:pPr>
          </w:p>
        </w:tc>
        <w:tc>
          <w:tcPr>
            <w:tcW w:w="3292" w:type="dxa"/>
          </w:tcPr>
          <w:p w14:paraId="6FF65DD0" w14:textId="77777777" w:rsidR="00C678B7" w:rsidRPr="00203F50" w:rsidRDefault="00C678B7" w:rsidP="0042751C">
            <w:pPr>
              <w:spacing w:before="0" w:after="0"/>
              <w:rPr>
                <w:rFonts w:ascii="Aptos" w:hAnsi="Aptos" w:cs="Arial"/>
                <w:b/>
                <w:bCs/>
                <w:sz w:val="22"/>
                <w:szCs w:val="22"/>
                <w:lang w:val="en-US"/>
              </w:rPr>
            </w:pPr>
            <w:r w:rsidRPr="00203F50">
              <w:rPr>
                <w:rFonts w:ascii="Aptos" w:hAnsi="Aptos" w:cs="Arial"/>
                <w:b/>
                <w:bCs/>
                <w:sz w:val="22"/>
                <w:szCs w:val="22"/>
                <w:lang w:val="en-US"/>
              </w:rPr>
              <w:t>High</w:t>
            </w:r>
          </w:p>
        </w:tc>
        <w:tc>
          <w:tcPr>
            <w:tcW w:w="3292" w:type="dxa"/>
          </w:tcPr>
          <w:p w14:paraId="5979E720" w14:textId="269B9449" w:rsidR="00C678B7" w:rsidRPr="00203F50" w:rsidRDefault="005742A1" w:rsidP="0042751C">
            <w:pPr>
              <w:spacing w:before="0" w:after="0"/>
              <w:rPr>
                <w:rFonts w:ascii="Aptos" w:hAnsi="Aptos" w:cs="Arial"/>
                <w:sz w:val="22"/>
                <w:szCs w:val="22"/>
                <w:lang w:val="en-US"/>
              </w:rPr>
            </w:pPr>
            <w:r w:rsidRPr="00203F50">
              <w:rPr>
                <w:rFonts w:ascii="Aptos" w:hAnsi="Aptos" w:cs="Arial"/>
                <w:sz w:val="22"/>
                <w:szCs w:val="22"/>
                <w:lang w:val="en-US"/>
              </w:rPr>
              <w:t>Total 11 studies</w:t>
            </w:r>
            <w:r w:rsidR="00C678B7" w:rsidRPr="00203F50">
              <w:rPr>
                <w:rFonts w:ascii="Aptos" w:hAnsi="Aptos" w:cs="Arial"/>
                <w:sz w:val="22"/>
                <w:szCs w:val="22"/>
                <w:lang w:val="en-US"/>
              </w:rPr>
              <w:t>: 8 rated high for methodological criteria; 3 studies had minor reporting concerns and ‘partial’ clarity across multiple design elements. Data relevance, adequacy and coherence rated high.</w:t>
            </w:r>
          </w:p>
        </w:tc>
        <w:tc>
          <w:tcPr>
            <w:tcW w:w="3292" w:type="dxa"/>
          </w:tcPr>
          <w:p w14:paraId="34A4AC7D"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Ducket &amp; Pratt 2010</w:t>
            </w:r>
          </w:p>
          <w:p w14:paraId="2C7A0689"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Singleton et al. 2014</w:t>
            </w:r>
          </w:p>
          <w:p w14:paraId="6059886A"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Roy et al. 2018</w:t>
            </w:r>
          </w:p>
          <w:p w14:paraId="65D331C2"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Sabatello et al. 2019</w:t>
            </w:r>
          </w:p>
          <w:p w14:paraId="7228C4DA"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Anderson et al. 2020</w:t>
            </w:r>
          </w:p>
          <w:p w14:paraId="2114D62F"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Jaiswal et al. 2020</w:t>
            </w:r>
          </w:p>
          <w:p w14:paraId="37698DA2"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Unger et al. 2021</w:t>
            </w:r>
          </w:p>
          <w:p w14:paraId="676B6168"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Garofalo et al. 2022</w:t>
            </w:r>
          </w:p>
          <w:p w14:paraId="1D84BFA8" w14:textId="77777777" w:rsidR="00C678B7" w:rsidRPr="00203F50" w:rsidRDefault="00C678B7" w:rsidP="0042751C">
            <w:pPr>
              <w:spacing w:before="0" w:after="0"/>
              <w:rPr>
                <w:rFonts w:ascii="Aptos" w:hAnsi="Aptos" w:cs="Arial"/>
                <w:sz w:val="22"/>
                <w:szCs w:val="22"/>
                <w:lang w:val="en-US"/>
              </w:rPr>
            </w:pPr>
            <w:proofErr w:type="spellStart"/>
            <w:r w:rsidRPr="00203F50">
              <w:rPr>
                <w:rFonts w:ascii="Aptos" w:hAnsi="Aptos" w:cs="Arial"/>
                <w:sz w:val="22"/>
                <w:szCs w:val="22"/>
                <w:lang w:val="en-US"/>
              </w:rPr>
              <w:t>Watharow</w:t>
            </w:r>
            <w:proofErr w:type="spellEnd"/>
            <w:r w:rsidRPr="00203F50">
              <w:rPr>
                <w:rFonts w:ascii="Aptos" w:hAnsi="Aptos" w:cs="Arial"/>
                <w:sz w:val="22"/>
                <w:szCs w:val="22"/>
                <w:lang w:val="en-US"/>
              </w:rPr>
              <w:t xml:space="preserve"> &amp; Wayland 2022</w:t>
            </w:r>
          </w:p>
          <w:p w14:paraId="08B94097" w14:textId="77777777" w:rsidR="00C678B7" w:rsidRPr="00203F50" w:rsidRDefault="00C678B7" w:rsidP="0042751C">
            <w:pPr>
              <w:spacing w:before="0" w:after="0"/>
              <w:rPr>
                <w:rFonts w:ascii="Aptos" w:hAnsi="Aptos" w:cs="Arial"/>
                <w:sz w:val="22"/>
                <w:szCs w:val="22"/>
                <w:lang w:val="en-US"/>
              </w:rPr>
            </w:pPr>
            <w:proofErr w:type="spellStart"/>
            <w:r w:rsidRPr="00203F50">
              <w:rPr>
                <w:rFonts w:ascii="Aptos" w:hAnsi="Aptos" w:cs="Arial"/>
                <w:sz w:val="22"/>
                <w:szCs w:val="22"/>
                <w:lang w:val="en-US"/>
              </w:rPr>
              <w:t>Kushalnagar</w:t>
            </w:r>
            <w:proofErr w:type="spellEnd"/>
            <w:r w:rsidRPr="00203F50">
              <w:rPr>
                <w:rFonts w:ascii="Aptos" w:hAnsi="Aptos" w:cs="Arial"/>
                <w:sz w:val="22"/>
                <w:szCs w:val="22"/>
                <w:lang w:val="en-US"/>
              </w:rPr>
              <w:t xml:space="preserve"> et al. 2023</w:t>
            </w:r>
          </w:p>
          <w:p w14:paraId="45EF88F1"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McGrath et al. 2025</w:t>
            </w:r>
          </w:p>
        </w:tc>
      </w:tr>
      <w:tr w:rsidR="00C678B7" w:rsidRPr="00A16BBD" w14:paraId="7446347B" w14:textId="77777777" w:rsidTr="0042751C">
        <w:tc>
          <w:tcPr>
            <w:tcW w:w="3292" w:type="dxa"/>
          </w:tcPr>
          <w:p w14:paraId="7A0EE53A" w14:textId="77777777" w:rsidR="00C678B7" w:rsidRPr="00203F50" w:rsidRDefault="00C678B7" w:rsidP="0042751C">
            <w:pPr>
              <w:spacing w:before="0" w:after="0"/>
              <w:rPr>
                <w:rFonts w:ascii="Aptos" w:hAnsi="Aptos"/>
                <w:sz w:val="22"/>
                <w:szCs w:val="22"/>
              </w:rPr>
            </w:pPr>
            <w:r w:rsidRPr="00203F50">
              <w:rPr>
                <w:rFonts w:ascii="Aptos" w:hAnsi="Aptos"/>
                <w:b/>
                <w:bCs/>
                <w:sz w:val="22"/>
                <w:szCs w:val="22"/>
              </w:rPr>
              <w:t xml:space="preserve">Principle 4: Prioritise choice and control over preferred information formats </w:t>
            </w:r>
            <w:r w:rsidRPr="00203F50">
              <w:rPr>
                <w:rFonts w:ascii="Aptos" w:hAnsi="Aptos"/>
                <w:sz w:val="22"/>
                <w:szCs w:val="22"/>
              </w:rPr>
              <w:t>(i.e., be able to offer a range of accessible formats).</w:t>
            </w:r>
          </w:p>
          <w:p w14:paraId="287CEA71" w14:textId="77777777" w:rsidR="00C678B7" w:rsidRPr="00203F50" w:rsidRDefault="00C678B7" w:rsidP="0042751C">
            <w:pPr>
              <w:spacing w:before="0" w:after="0"/>
              <w:rPr>
                <w:rFonts w:ascii="Aptos" w:hAnsi="Aptos" w:cs="Arial"/>
                <w:sz w:val="22"/>
                <w:szCs w:val="22"/>
                <w:lang w:val="en-US"/>
              </w:rPr>
            </w:pPr>
          </w:p>
        </w:tc>
        <w:tc>
          <w:tcPr>
            <w:tcW w:w="3292" w:type="dxa"/>
          </w:tcPr>
          <w:p w14:paraId="5B3ABB01" w14:textId="77777777" w:rsidR="00C678B7" w:rsidRPr="00203F50" w:rsidRDefault="00C678B7" w:rsidP="0042751C">
            <w:pPr>
              <w:spacing w:before="0" w:after="0"/>
              <w:rPr>
                <w:rFonts w:ascii="Aptos" w:hAnsi="Aptos" w:cs="Arial"/>
                <w:b/>
                <w:bCs/>
                <w:sz w:val="22"/>
                <w:szCs w:val="22"/>
                <w:lang w:val="en-US"/>
              </w:rPr>
            </w:pPr>
            <w:r w:rsidRPr="00203F50">
              <w:rPr>
                <w:rFonts w:ascii="Aptos" w:hAnsi="Aptos" w:cs="Arial"/>
                <w:b/>
                <w:bCs/>
                <w:sz w:val="22"/>
                <w:szCs w:val="22"/>
                <w:lang w:val="en-US"/>
              </w:rPr>
              <w:t>High</w:t>
            </w:r>
          </w:p>
        </w:tc>
        <w:tc>
          <w:tcPr>
            <w:tcW w:w="3292" w:type="dxa"/>
          </w:tcPr>
          <w:p w14:paraId="7724F9EA" w14:textId="70768C05" w:rsidR="00C678B7" w:rsidRPr="00203F50" w:rsidRDefault="005742A1" w:rsidP="0042751C">
            <w:pPr>
              <w:spacing w:before="0" w:after="0"/>
              <w:rPr>
                <w:rFonts w:ascii="Aptos" w:hAnsi="Aptos" w:cs="Arial"/>
                <w:sz w:val="22"/>
                <w:szCs w:val="22"/>
                <w:lang w:val="en-US"/>
              </w:rPr>
            </w:pPr>
            <w:r w:rsidRPr="00203F50">
              <w:rPr>
                <w:rFonts w:ascii="Aptos" w:hAnsi="Aptos" w:cs="Arial"/>
                <w:sz w:val="22"/>
                <w:szCs w:val="22"/>
                <w:lang w:val="en-US"/>
              </w:rPr>
              <w:t>Total 18 studies:</w:t>
            </w:r>
            <w:r w:rsidR="00C678B7" w:rsidRPr="00203F50">
              <w:rPr>
                <w:rFonts w:ascii="Aptos" w:hAnsi="Aptos" w:cs="Arial"/>
                <w:sz w:val="22"/>
                <w:szCs w:val="22"/>
                <w:lang w:val="en-US"/>
              </w:rPr>
              <w:t xml:space="preserve"> 11 rated high for methodological criteria; 4 studies had minor reporting concerns and </w:t>
            </w:r>
            <w:proofErr w:type="gramStart"/>
            <w:r w:rsidR="00C678B7" w:rsidRPr="00203F50">
              <w:rPr>
                <w:rFonts w:ascii="Aptos" w:hAnsi="Aptos" w:cs="Arial"/>
                <w:sz w:val="22"/>
                <w:szCs w:val="22"/>
                <w:lang w:val="en-US"/>
              </w:rPr>
              <w:t>3 studies</w:t>
            </w:r>
            <w:proofErr w:type="gramEnd"/>
            <w:r w:rsidR="00C678B7" w:rsidRPr="00203F50">
              <w:rPr>
                <w:rFonts w:ascii="Aptos" w:hAnsi="Aptos" w:cs="Arial"/>
                <w:sz w:val="22"/>
                <w:szCs w:val="22"/>
                <w:lang w:val="en-US"/>
              </w:rPr>
              <w:t xml:space="preserve"> major reporting omissions. Data relevance, adequacy and coherence rated high (thus, quality and depth of data present outweighed reporting omissions).</w:t>
            </w:r>
          </w:p>
        </w:tc>
        <w:tc>
          <w:tcPr>
            <w:tcW w:w="3292" w:type="dxa"/>
          </w:tcPr>
          <w:p w14:paraId="60947D11"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b/>
                <w:bCs/>
                <w:sz w:val="22"/>
                <w:szCs w:val="22"/>
                <w:lang w:val="en-US"/>
              </w:rPr>
              <w:t xml:space="preserve">All </w:t>
            </w:r>
            <w:r w:rsidRPr="00203F50">
              <w:rPr>
                <w:rFonts w:ascii="Aptos" w:hAnsi="Aptos" w:cs="Arial"/>
                <w:sz w:val="22"/>
                <w:szCs w:val="22"/>
                <w:lang w:val="en-US"/>
              </w:rPr>
              <w:t xml:space="preserve">except </w:t>
            </w:r>
            <w:proofErr w:type="spellStart"/>
            <w:r w:rsidRPr="00203F50">
              <w:rPr>
                <w:rFonts w:ascii="Aptos" w:hAnsi="Aptos" w:cs="Arial"/>
                <w:sz w:val="22"/>
                <w:szCs w:val="22"/>
                <w:lang w:val="en-US"/>
              </w:rPr>
              <w:t>Speher</w:t>
            </w:r>
            <w:proofErr w:type="spellEnd"/>
            <w:r w:rsidRPr="00203F50">
              <w:rPr>
                <w:rFonts w:ascii="Aptos" w:hAnsi="Aptos" w:cs="Arial"/>
                <w:sz w:val="22"/>
                <w:szCs w:val="22"/>
                <w:lang w:val="en-US"/>
              </w:rPr>
              <w:t xml:space="preserve"> et al. 2016</w:t>
            </w:r>
          </w:p>
          <w:p w14:paraId="3B8EE724" w14:textId="77777777" w:rsidR="00C678B7" w:rsidRPr="00203F50" w:rsidRDefault="00C678B7" w:rsidP="0042751C">
            <w:pPr>
              <w:spacing w:before="0" w:after="0"/>
              <w:rPr>
                <w:rFonts w:ascii="Aptos" w:hAnsi="Aptos" w:cs="Arial"/>
                <w:sz w:val="22"/>
                <w:szCs w:val="22"/>
                <w:lang w:val="en-US"/>
              </w:rPr>
            </w:pPr>
          </w:p>
        </w:tc>
      </w:tr>
      <w:tr w:rsidR="00C678B7" w:rsidRPr="00A16BBD" w14:paraId="31677987" w14:textId="77777777" w:rsidTr="0042751C">
        <w:tc>
          <w:tcPr>
            <w:tcW w:w="3292" w:type="dxa"/>
          </w:tcPr>
          <w:p w14:paraId="44583BCF" w14:textId="77777777" w:rsidR="00C678B7" w:rsidRPr="00203F50" w:rsidRDefault="00C678B7" w:rsidP="0042751C">
            <w:pPr>
              <w:spacing w:before="0" w:after="0"/>
              <w:rPr>
                <w:rFonts w:ascii="Aptos" w:hAnsi="Aptos" w:cs="Arial"/>
                <w:b/>
                <w:bCs/>
                <w:sz w:val="22"/>
                <w:szCs w:val="22"/>
                <w:lang w:val="en-US"/>
              </w:rPr>
            </w:pPr>
            <w:r w:rsidRPr="00203F50">
              <w:rPr>
                <w:rFonts w:ascii="Aptos" w:hAnsi="Aptos" w:cs="Arial"/>
                <w:b/>
                <w:bCs/>
                <w:sz w:val="22"/>
                <w:szCs w:val="22"/>
                <w:lang w:val="en-US"/>
              </w:rPr>
              <w:t xml:space="preserve">Principle 5: Ensure research staff </w:t>
            </w:r>
            <w:proofErr w:type="gramStart"/>
            <w:r w:rsidRPr="00203F50">
              <w:rPr>
                <w:rFonts w:ascii="Aptos" w:hAnsi="Aptos" w:cs="Arial"/>
                <w:b/>
                <w:bCs/>
                <w:sz w:val="22"/>
                <w:szCs w:val="22"/>
                <w:lang w:val="en-US"/>
              </w:rPr>
              <w:t>have the opportunity to</w:t>
            </w:r>
            <w:proofErr w:type="gramEnd"/>
            <w:r w:rsidRPr="00203F50">
              <w:rPr>
                <w:rFonts w:ascii="Aptos" w:hAnsi="Aptos" w:cs="Arial"/>
                <w:b/>
                <w:bCs/>
                <w:sz w:val="22"/>
                <w:szCs w:val="22"/>
                <w:lang w:val="en-US"/>
              </w:rPr>
              <w:t xml:space="preserve"> develop knowledge and skills, and be able to execute, a tailored process to meet </w:t>
            </w:r>
            <w:proofErr w:type="gramStart"/>
            <w:r w:rsidRPr="00203F50">
              <w:rPr>
                <w:rFonts w:ascii="Aptos" w:hAnsi="Aptos" w:cs="Arial"/>
                <w:b/>
                <w:bCs/>
                <w:sz w:val="22"/>
                <w:szCs w:val="22"/>
                <w:lang w:val="en-US"/>
              </w:rPr>
              <w:t>the access</w:t>
            </w:r>
            <w:proofErr w:type="gramEnd"/>
            <w:r w:rsidRPr="00203F50">
              <w:rPr>
                <w:rFonts w:ascii="Aptos" w:hAnsi="Aptos" w:cs="Arial"/>
                <w:b/>
                <w:bCs/>
                <w:sz w:val="22"/>
                <w:szCs w:val="22"/>
                <w:lang w:val="en-US"/>
              </w:rPr>
              <w:t xml:space="preserve"> needs </w:t>
            </w:r>
            <w:r w:rsidRPr="00203F50">
              <w:rPr>
                <w:rFonts w:ascii="Aptos" w:hAnsi="Aptos" w:cs="Arial"/>
                <w:sz w:val="22"/>
                <w:szCs w:val="22"/>
                <w:lang w:val="en-US"/>
              </w:rPr>
              <w:t>(i.e., education, training as needed)</w:t>
            </w:r>
          </w:p>
        </w:tc>
        <w:tc>
          <w:tcPr>
            <w:tcW w:w="3292" w:type="dxa"/>
          </w:tcPr>
          <w:p w14:paraId="07FB480C" w14:textId="77777777" w:rsidR="00C678B7" w:rsidRPr="00203F50" w:rsidRDefault="00C678B7" w:rsidP="0042751C">
            <w:pPr>
              <w:spacing w:before="0" w:after="0"/>
              <w:rPr>
                <w:rFonts w:ascii="Aptos" w:hAnsi="Aptos" w:cs="Arial"/>
                <w:b/>
                <w:bCs/>
                <w:sz w:val="22"/>
                <w:szCs w:val="22"/>
                <w:lang w:val="en-US"/>
              </w:rPr>
            </w:pPr>
            <w:r w:rsidRPr="00203F50">
              <w:rPr>
                <w:rFonts w:ascii="Aptos" w:hAnsi="Aptos" w:cs="Arial"/>
                <w:b/>
                <w:bCs/>
                <w:sz w:val="22"/>
                <w:szCs w:val="22"/>
                <w:lang w:val="en-US"/>
              </w:rPr>
              <w:t xml:space="preserve">Moderate </w:t>
            </w:r>
          </w:p>
        </w:tc>
        <w:tc>
          <w:tcPr>
            <w:tcW w:w="3292" w:type="dxa"/>
          </w:tcPr>
          <w:p w14:paraId="4E07B1A6" w14:textId="4876A51A" w:rsidR="00C678B7" w:rsidRPr="00203F50" w:rsidRDefault="005742A1" w:rsidP="0042751C">
            <w:pPr>
              <w:spacing w:before="0" w:after="0"/>
              <w:rPr>
                <w:rFonts w:ascii="Aptos" w:hAnsi="Aptos" w:cs="Arial"/>
                <w:sz w:val="22"/>
                <w:szCs w:val="22"/>
                <w:lang w:val="en-US"/>
              </w:rPr>
            </w:pPr>
            <w:r w:rsidRPr="00203F50">
              <w:rPr>
                <w:rFonts w:ascii="Aptos" w:hAnsi="Aptos" w:cs="Arial"/>
                <w:sz w:val="22"/>
                <w:szCs w:val="22"/>
                <w:lang w:val="en-US"/>
              </w:rPr>
              <w:t xml:space="preserve">Total 6 studies: </w:t>
            </w:r>
            <w:r w:rsidR="00C678B7" w:rsidRPr="00203F50">
              <w:rPr>
                <w:rFonts w:ascii="Aptos" w:hAnsi="Aptos" w:cs="Arial"/>
                <w:sz w:val="22"/>
                <w:szCs w:val="22"/>
                <w:lang w:val="en-US"/>
              </w:rPr>
              <w:t>3 rated high for methodological criteria; 2 studies had minor reporting concerns and 1 study major limits in reporting. Moderate ratings for data relevance and coherence, and low adequacy.</w:t>
            </w:r>
          </w:p>
        </w:tc>
        <w:tc>
          <w:tcPr>
            <w:tcW w:w="3292" w:type="dxa"/>
          </w:tcPr>
          <w:p w14:paraId="18371D7A"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Williams 2002</w:t>
            </w:r>
          </w:p>
          <w:p w14:paraId="15728194"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Skilton et al. 2018</w:t>
            </w:r>
          </w:p>
          <w:p w14:paraId="64E1BD57"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Anderson et al. 2020</w:t>
            </w:r>
          </w:p>
          <w:p w14:paraId="4329A3BF"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Jaiswal et al. 2020</w:t>
            </w:r>
          </w:p>
          <w:p w14:paraId="2F7BBADE"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 xml:space="preserve">Kim &amp; </w:t>
            </w:r>
            <w:proofErr w:type="spellStart"/>
            <w:r w:rsidRPr="00203F50">
              <w:rPr>
                <w:rFonts w:ascii="Aptos" w:hAnsi="Aptos" w:cs="Arial"/>
                <w:sz w:val="22"/>
                <w:szCs w:val="22"/>
                <w:lang w:val="en-US"/>
              </w:rPr>
              <w:t>Sutharson</w:t>
            </w:r>
            <w:proofErr w:type="spellEnd"/>
            <w:r w:rsidRPr="00203F50">
              <w:rPr>
                <w:rFonts w:ascii="Aptos" w:hAnsi="Aptos" w:cs="Arial"/>
                <w:sz w:val="22"/>
                <w:szCs w:val="22"/>
                <w:lang w:val="en-US"/>
              </w:rPr>
              <w:t xml:space="preserve"> 2022</w:t>
            </w:r>
          </w:p>
          <w:p w14:paraId="38BCA061"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Wittich et al. 2023</w:t>
            </w:r>
          </w:p>
          <w:p w14:paraId="376178E3" w14:textId="77777777" w:rsidR="00C678B7" w:rsidRPr="00203F50" w:rsidRDefault="00C678B7" w:rsidP="0042751C">
            <w:pPr>
              <w:spacing w:before="0" w:after="0"/>
              <w:rPr>
                <w:rFonts w:ascii="Aptos" w:hAnsi="Aptos" w:cs="Arial"/>
                <w:sz w:val="22"/>
                <w:szCs w:val="22"/>
                <w:lang w:val="en-US"/>
              </w:rPr>
            </w:pPr>
          </w:p>
        </w:tc>
      </w:tr>
      <w:tr w:rsidR="00C678B7" w:rsidRPr="00A16BBD" w14:paraId="7422B9D7" w14:textId="77777777" w:rsidTr="0042751C">
        <w:tc>
          <w:tcPr>
            <w:tcW w:w="3292" w:type="dxa"/>
          </w:tcPr>
          <w:p w14:paraId="69ADFA72" w14:textId="77777777" w:rsidR="00C678B7" w:rsidRPr="00203F50" w:rsidRDefault="00C678B7" w:rsidP="0042751C">
            <w:pPr>
              <w:spacing w:before="0" w:after="0"/>
              <w:rPr>
                <w:rFonts w:ascii="Aptos" w:hAnsi="Aptos"/>
                <w:sz w:val="22"/>
                <w:szCs w:val="22"/>
              </w:rPr>
            </w:pPr>
            <w:r w:rsidRPr="00203F50">
              <w:rPr>
                <w:rFonts w:ascii="Aptos" w:hAnsi="Aptos"/>
                <w:b/>
                <w:bCs/>
                <w:sz w:val="22"/>
                <w:szCs w:val="22"/>
              </w:rPr>
              <w:t xml:space="preserve">Principle 6: Ensure requisite resourcing to support the delivery of an accessible and equitable process to meet access needs </w:t>
            </w:r>
            <w:r w:rsidRPr="00203F50">
              <w:rPr>
                <w:rFonts w:ascii="Aptos" w:hAnsi="Aptos"/>
                <w:sz w:val="22"/>
                <w:szCs w:val="22"/>
              </w:rPr>
              <w:t>(i.e., time, space, experienced interpreters, assistive technology, dedicated funds)</w:t>
            </w:r>
          </w:p>
          <w:p w14:paraId="526DCF6A" w14:textId="77777777" w:rsidR="00C678B7" w:rsidRPr="00203F50" w:rsidRDefault="00C678B7" w:rsidP="0042751C">
            <w:pPr>
              <w:spacing w:before="0" w:after="0"/>
              <w:rPr>
                <w:rFonts w:ascii="Aptos" w:hAnsi="Aptos" w:cs="Arial"/>
                <w:sz w:val="22"/>
                <w:szCs w:val="22"/>
                <w:lang w:val="en-US"/>
              </w:rPr>
            </w:pPr>
          </w:p>
        </w:tc>
        <w:tc>
          <w:tcPr>
            <w:tcW w:w="3292" w:type="dxa"/>
          </w:tcPr>
          <w:p w14:paraId="59BAF3D7"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b/>
                <w:bCs/>
                <w:sz w:val="22"/>
                <w:szCs w:val="22"/>
                <w:lang w:val="en-US"/>
              </w:rPr>
              <w:t xml:space="preserve">Moderate </w:t>
            </w:r>
          </w:p>
        </w:tc>
        <w:tc>
          <w:tcPr>
            <w:tcW w:w="3292" w:type="dxa"/>
          </w:tcPr>
          <w:p w14:paraId="7429733E" w14:textId="5AD9C476" w:rsidR="00C678B7" w:rsidRPr="00203F50" w:rsidRDefault="005742A1" w:rsidP="0042751C">
            <w:pPr>
              <w:spacing w:before="0" w:after="0"/>
              <w:rPr>
                <w:rFonts w:ascii="Aptos" w:hAnsi="Aptos" w:cs="Arial"/>
                <w:sz w:val="22"/>
                <w:szCs w:val="22"/>
                <w:lang w:val="en-US"/>
              </w:rPr>
            </w:pPr>
            <w:r w:rsidRPr="00203F50">
              <w:rPr>
                <w:rFonts w:ascii="Aptos" w:hAnsi="Aptos" w:cs="Arial"/>
                <w:sz w:val="22"/>
                <w:szCs w:val="22"/>
                <w:lang w:val="en-US"/>
              </w:rPr>
              <w:t>Total 11 studies:</w:t>
            </w:r>
            <w:r w:rsidR="00C678B7" w:rsidRPr="00203F50">
              <w:rPr>
                <w:rFonts w:ascii="Aptos" w:hAnsi="Aptos" w:cs="Arial"/>
                <w:sz w:val="22"/>
                <w:szCs w:val="22"/>
                <w:lang w:val="en-US"/>
              </w:rPr>
              <w:t xml:space="preserve"> 4 rated high across methodological criteria; 3 studies had minor reporting concerns, and 4 studies had major reporting concerns across multiple criteria. High rating for data relevance and coherence and low rating for data adequacy in select studies.</w:t>
            </w:r>
          </w:p>
        </w:tc>
        <w:tc>
          <w:tcPr>
            <w:tcW w:w="3292" w:type="dxa"/>
          </w:tcPr>
          <w:p w14:paraId="75370031"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Williams 2002</w:t>
            </w:r>
          </w:p>
          <w:p w14:paraId="5A0F3C94"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Spehar et al. 2016</w:t>
            </w:r>
          </w:p>
          <w:p w14:paraId="1593DF72"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Garofalo et al. 2022</w:t>
            </w:r>
          </w:p>
          <w:p w14:paraId="64EFDE8C"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Skilton et al. 2018</w:t>
            </w:r>
          </w:p>
          <w:p w14:paraId="61397B4C"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Sabatello et al. 2019</w:t>
            </w:r>
          </w:p>
          <w:p w14:paraId="753BF5A9"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Jaiswal et al. 2020</w:t>
            </w:r>
          </w:p>
          <w:p w14:paraId="184C598B"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Unger et al. 2021</w:t>
            </w:r>
          </w:p>
          <w:p w14:paraId="4413FACB" w14:textId="77777777" w:rsidR="00C678B7" w:rsidRPr="00203F50" w:rsidRDefault="00C678B7" w:rsidP="0042751C">
            <w:pPr>
              <w:spacing w:before="0" w:after="0"/>
              <w:rPr>
                <w:rFonts w:ascii="Aptos" w:hAnsi="Aptos" w:cs="Arial"/>
                <w:sz w:val="22"/>
                <w:szCs w:val="22"/>
                <w:lang w:val="en-US"/>
              </w:rPr>
            </w:pPr>
            <w:proofErr w:type="spellStart"/>
            <w:r w:rsidRPr="00203F50">
              <w:rPr>
                <w:rFonts w:ascii="Aptos" w:hAnsi="Aptos" w:cs="Arial"/>
                <w:sz w:val="22"/>
                <w:szCs w:val="22"/>
                <w:lang w:val="en-US"/>
              </w:rPr>
              <w:t>Watharow</w:t>
            </w:r>
            <w:proofErr w:type="spellEnd"/>
            <w:r w:rsidRPr="00203F50">
              <w:rPr>
                <w:rFonts w:ascii="Aptos" w:hAnsi="Aptos" w:cs="Arial"/>
                <w:sz w:val="22"/>
                <w:szCs w:val="22"/>
                <w:lang w:val="en-US"/>
              </w:rPr>
              <w:t xml:space="preserve"> &amp; Wayland 2022</w:t>
            </w:r>
          </w:p>
          <w:p w14:paraId="4D891AA8"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 xml:space="preserve">Kim &amp; </w:t>
            </w:r>
            <w:proofErr w:type="spellStart"/>
            <w:r w:rsidRPr="00203F50">
              <w:rPr>
                <w:rFonts w:ascii="Aptos" w:hAnsi="Aptos" w:cs="Arial"/>
                <w:sz w:val="22"/>
                <w:szCs w:val="22"/>
                <w:lang w:val="en-US"/>
              </w:rPr>
              <w:t>Sutharson</w:t>
            </w:r>
            <w:proofErr w:type="spellEnd"/>
            <w:r w:rsidRPr="00203F50">
              <w:rPr>
                <w:rFonts w:ascii="Aptos" w:hAnsi="Aptos" w:cs="Arial"/>
                <w:sz w:val="22"/>
                <w:szCs w:val="22"/>
                <w:lang w:val="en-US"/>
              </w:rPr>
              <w:t xml:space="preserve"> 2022</w:t>
            </w:r>
          </w:p>
          <w:p w14:paraId="1FD081DD"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Wittich et al. 2023</w:t>
            </w:r>
          </w:p>
          <w:p w14:paraId="1D12C52B" w14:textId="77777777" w:rsidR="00C678B7" w:rsidRPr="00203F50" w:rsidRDefault="00C678B7" w:rsidP="0042751C">
            <w:pPr>
              <w:spacing w:before="0" w:after="0"/>
              <w:rPr>
                <w:rFonts w:ascii="Aptos" w:hAnsi="Aptos" w:cs="Arial"/>
                <w:b/>
                <w:bCs/>
                <w:sz w:val="22"/>
                <w:szCs w:val="22"/>
                <w:lang w:val="en-US"/>
              </w:rPr>
            </w:pPr>
            <w:proofErr w:type="spellStart"/>
            <w:r w:rsidRPr="00203F50">
              <w:rPr>
                <w:rFonts w:ascii="Aptos" w:hAnsi="Aptos" w:cs="Arial"/>
                <w:sz w:val="22"/>
                <w:szCs w:val="22"/>
                <w:lang w:val="en-US"/>
              </w:rPr>
              <w:t>Kushalnagar</w:t>
            </w:r>
            <w:proofErr w:type="spellEnd"/>
            <w:r w:rsidRPr="00203F50">
              <w:rPr>
                <w:rFonts w:ascii="Aptos" w:hAnsi="Aptos" w:cs="Arial"/>
                <w:sz w:val="22"/>
                <w:szCs w:val="22"/>
                <w:lang w:val="en-US"/>
              </w:rPr>
              <w:t xml:space="preserve"> et al. 2023</w:t>
            </w:r>
          </w:p>
        </w:tc>
      </w:tr>
      <w:tr w:rsidR="00C678B7" w:rsidRPr="00A16BBD" w14:paraId="0231D29A" w14:textId="77777777" w:rsidTr="0042751C">
        <w:tc>
          <w:tcPr>
            <w:tcW w:w="3292" w:type="dxa"/>
          </w:tcPr>
          <w:p w14:paraId="73406849" w14:textId="77777777" w:rsidR="00C678B7" w:rsidRPr="00203F50" w:rsidRDefault="00C678B7" w:rsidP="0042751C">
            <w:pPr>
              <w:spacing w:before="0" w:after="0"/>
              <w:rPr>
                <w:rFonts w:ascii="Aptos" w:hAnsi="Aptos"/>
                <w:sz w:val="22"/>
                <w:szCs w:val="22"/>
              </w:rPr>
            </w:pPr>
            <w:r w:rsidRPr="00203F50">
              <w:rPr>
                <w:rFonts w:ascii="Aptos" w:hAnsi="Aptos"/>
                <w:b/>
                <w:bCs/>
                <w:sz w:val="22"/>
                <w:szCs w:val="22"/>
              </w:rPr>
              <w:t xml:space="preserve">Principle 7: Enable agency and flexibility in consent options </w:t>
            </w:r>
            <w:r w:rsidRPr="00203F50">
              <w:rPr>
                <w:rFonts w:ascii="Aptos" w:hAnsi="Aptos"/>
                <w:sz w:val="22"/>
                <w:szCs w:val="22"/>
              </w:rPr>
              <w:t>(i.e., offer tailored and different methods to record consent).</w:t>
            </w:r>
          </w:p>
          <w:p w14:paraId="08EDAA0A" w14:textId="77777777" w:rsidR="00C678B7" w:rsidRPr="00203F50" w:rsidRDefault="00C678B7" w:rsidP="0042751C">
            <w:pPr>
              <w:spacing w:before="0" w:after="0"/>
              <w:rPr>
                <w:rFonts w:ascii="Aptos" w:hAnsi="Aptos" w:cs="Arial"/>
                <w:sz w:val="22"/>
                <w:szCs w:val="22"/>
                <w:lang w:val="en-US"/>
              </w:rPr>
            </w:pPr>
          </w:p>
        </w:tc>
        <w:tc>
          <w:tcPr>
            <w:tcW w:w="3292" w:type="dxa"/>
          </w:tcPr>
          <w:p w14:paraId="20A0FC4E" w14:textId="77777777" w:rsidR="00C678B7" w:rsidRPr="00203F50" w:rsidRDefault="00C678B7" w:rsidP="0042751C">
            <w:pPr>
              <w:spacing w:before="0" w:after="0"/>
              <w:rPr>
                <w:rFonts w:ascii="Aptos" w:hAnsi="Aptos" w:cs="Arial"/>
                <w:b/>
                <w:bCs/>
                <w:sz w:val="22"/>
                <w:szCs w:val="22"/>
                <w:lang w:val="en-US"/>
              </w:rPr>
            </w:pPr>
            <w:r w:rsidRPr="00203F50">
              <w:rPr>
                <w:rFonts w:ascii="Aptos" w:hAnsi="Aptos" w:cs="Arial"/>
                <w:b/>
                <w:bCs/>
                <w:sz w:val="22"/>
                <w:szCs w:val="22"/>
                <w:lang w:val="en-US"/>
              </w:rPr>
              <w:t>Low</w:t>
            </w:r>
          </w:p>
        </w:tc>
        <w:tc>
          <w:tcPr>
            <w:tcW w:w="3292" w:type="dxa"/>
          </w:tcPr>
          <w:p w14:paraId="5AFBF86D" w14:textId="5191F886" w:rsidR="00C678B7" w:rsidRPr="00203F50" w:rsidRDefault="005742A1" w:rsidP="0042751C">
            <w:pPr>
              <w:spacing w:before="0" w:after="0"/>
              <w:rPr>
                <w:rFonts w:ascii="Aptos" w:hAnsi="Aptos" w:cs="Arial"/>
                <w:sz w:val="22"/>
                <w:szCs w:val="22"/>
                <w:lang w:val="en-US"/>
              </w:rPr>
            </w:pPr>
            <w:r w:rsidRPr="00203F50">
              <w:rPr>
                <w:rFonts w:ascii="Aptos" w:hAnsi="Aptos" w:cs="Arial"/>
                <w:sz w:val="22"/>
                <w:szCs w:val="22"/>
                <w:lang w:val="en-US"/>
              </w:rPr>
              <w:t xml:space="preserve">Total 9 studies: </w:t>
            </w:r>
            <w:r w:rsidR="00C678B7" w:rsidRPr="00203F50">
              <w:rPr>
                <w:rFonts w:ascii="Aptos" w:hAnsi="Aptos" w:cs="Arial"/>
                <w:sz w:val="22"/>
                <w:szCs w:val="22"/>
                <w:lang w:val="en-US"/>
              </w:rPr>
              <w:t xml:space="preserve">5 rated high across methodological criteria; 1 study had minor </w:t>
            </w:r>
            <w:proofErr w:type="gramStart"/>
            <w:r w:rsidR="00C678B7" w:rsidRPr="00203F50">
              <w:rPr>
                <w:rFonts w:ascii="Aptos" w:hAnsi="Aptos" w:cs="Arial"/>
                <w:sz w:val="22"/>
                <w:szCs w:val="22"/>
                <w:lang w:val="en-US"/>
              </w:rPr>
              <w:t>reporting  concern</w:t>
            </w:r>
            <w:proofErr w:type="gramEnd"/>
            <w:r w:rsidR="00C678B7" w:rsidRPr="00203F50">
              <w:rPr>
                <w:rFonts w:ascii="Aptos" w:hAnsi="Aptos" w:cs="Arial"/>
                <w:sz w:val="22"/>
                <w:szCs w:val="22"/>
                <w:lang w:val="en-US"/>
              </w:rPr>
              <w:t xml:space="preserve"> and 3 studies had major reporting omissions across multiple criteria. Data relevance and coherence was high yet data adequacy low. </w:t>
            </w:r>
          </w:p>
        </w:tc>
        <w:tc>
          <w:tcPr>
            <w:tcW w:w="3292" w:type="dxa"/>
          </w:tcPr>
          <w:p w14:paraId="0F76615D"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Young et al. 2016</w:t>
            </w:r>
          </w:p>
          <w:p w14:paraId="4B81F89D"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Tanner et al. 2018</w:t>
            </w:r>
          </w:p>
          <w:p w14:paraId="542B71FB"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Anderson et al. 2020</w:t>
            </w:r>
          </w:p>
          <w:p w14:paraId="21C086F2"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Jaiswal et al. 2020</w:t>
            </w:r>
          </w:p>
          <w:p w14:paraId="7205C6CE" w14:textId="77777777" w:rsidR="00C678B7" w:rsidRPr="00203F50" w:rsidRDefault="00C678B7" w:rsidP="0042751C">
            <w:pPr>
              <w:spacing w:before="0" w:after="0"/>
              <w:rPr>
                <w:rFonts w:ascii="Aptos" w:hAnsi="Aptos" w:cs="Arial"/>
                <w:sz w:val="22"/>
                <w:szCs w:val="22"/>
                <w:lang w:val="en-US"/>
              </w:rPr>
            </w:pPr>
            <w:proofErr w:type="spellStart"/>
            <w:r w:rsidRPr="00203F50">
              <w:rPr>
                <w:rFonts w:ascii="Aptos" w:hAnsi="Aptos" w:cs="Arial"/>
                <w:sz w:val="22"/>
                <w:szCs w:val="22"/>
                <w:lang w:val="en-US"/>
              </w:rPr>
              <w:t>Watharow</w:t>
            </w:r>
            <w:proofErr w:type="spellEnd"/>
            <w:r w:rsidRPr="00203F50">
              <w:rPr>
                <w:rFonts w:ascii="Aptos" w:hAnsi="Aptos" w:cs="Arial"/>
                <w:sz w:val="22"/>
                <w:szCs w:val="22"/>
                <w:lang w:val="en-US"/>
              </w:rPr>
              <w:t xml:space="preserve"> &amp; Wayland 2022</w:t>
            </w:r>
          </w:p>
          <w:p w14:paraId="62A8C552"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 xml:space="preserve">Kim &amp; </w:t>
            </w:r>
            <w:proofErr w:type="spellStart"/>
            <w:r w:rsidRPr="00203F50">
              <w:rPr>
                <w:rFonts w:ascii="Aptos" w:hAnsi="Aptos" w:cs="Arial"/>
                <w:sz w:val="22"/>
                <w:szCs w:val="22"/>
                <w:lang w:val="en-US"/>
              </w:rPr>
              <w:t>Sutharson</w:t>
            </w:r>
            <w:proofErr w:type="spellEnd"/>
            <w:r w:rsidRPr="00203F50">
              <w:rPr>
                <w:rFonts w:ascii="Aptos" w:hAnsi="Aptos" w:cs="Arial"/>
                <w:sz w:val="22"/>
                <w:szCs w:val="22"/>
                <w:lang w:val="en-US"/>
              </w:rPr>
              <w:t xml:space="preserve"> 2022</w:t>
            </w:r>
          </w:p>
          <w:p w14:paraId="7FA6B79F"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Wittich et al. 2023</w:t>
            </w:r>
          </w:p>
          <w:p w14:paraId="39DF50FD" w14:textId="77777777" w:rsidR="00C678B7" w:rsidRPr="00203F50" w:rsidRDefault="00C678B7" w:rsidP="0042751C">
            <w:pPr>
              <w:spacing w:before="0" w:after="0"/>
              <w:rPr>
                <w:rFonts w:ascii="Aptos" w:hAnsi="Aptos" w:cs="Arial"/>
                <w:sz w:val="22"/>
                <w:szCs w:val="22"/>
                <w:lang w:val="en-US"/>
              </w:rPr>
            </w:pPr>
            <w:proofErr w:type="spellStart"/>
            <w:r w:rsidRPr="00203F50">
              <w:rPr>
                <w:rFonts w:ascii="Aptos" w:hAnsi="Aptos" w:cs="Arial"/>
                <w:sz w:val="22"/>
                <w:szCs w:val="22"/>
                <w:lang w:val="en-US"/>
              </w:rPr>
              <w:t>Kushalnagar</w:t>
            </w:r>
            <w:proofErr w:type="spellEnd"/>
            <w:r w:rsidRPr="00203F50">
              <w:rPr>
                <w:rFonts w:ascii="Aptos" w:hAnsi="Aptos" w:cs="Arial"/>
                <w:sz w:val="22"/>
                <w:szCs w:val="22"/>
                <w:lang w:val="en-US"/>
              </w:rPr>
              <w:t xml:space="preserve"> et al. 2023</w:t>
            </w:r>
          </w:p>
          <w:p w14:paraId="4732C80F" w14:textId="77777777" w:rsidR="00C678B7" w:rsidRPr="00203F50" w:rsidRDefault="00C678B7" w:rsidP="0042751C">
            <w:pPr>
              <w:spacing w:before="0" w:after="0"/>
              <w:rPr>
                <w:rFonts w:ascii="Aptos" w:hAnsi="Aptos" w:cs="Arial"/>
                <w:b/>
                <w:bCs/>
                <w:sz w:val="22"/>
                <w:szCs w:val="22"/>
                <w:lang w:val="en-US"/>
              </w:rPr>
            </w:pPr>
            <w:r w:rsidRPr="00203F50">
              <w:rPr>
                <w:rFonts w:ascii="Aptos" w:hAnsi="Aptos" w:cs="Arial"/>
                <w:sz w:val="22"/>
                <w:szCs w:val="22"/>
                <w:lang w:val="en-US"/>
              </w:rPr>
              <w:t>McGrath et al. 2025</w:t>
            </w:r>
          </w:p>
        </w:tc>
      </w:tr>
      <w:tr w:rsidR="00C678B7" w:rsidRPr="00A16BBD" w14:paraId="337AEB65" w14:textId="77777777" w:rsidTr="0042751C">
        <w:tc>
          <w:tcPr>
            <w:tcW w:w="3292" w:type="dxa"/>
          </w:tcPr>
          <w:p w14:paraId="4C6907AE" w14:textId="77777777" w:rsidR="00C678B7" w:rsidRPr="00203F50" w:rsidRDefault="00C678B7" w:rsidP="0042751C">
            <w:pPr>
              <w:spacing w:before="0" w:after="0"/>
              <w:rPr>
                <w:rFonts w:ascii="Aptos" w:hAnsi="Aptos"/>
                <w:b/>
                <w:bCs/>
                <w:sz w:val="22"/>
                <w:szCs w:val="22"/>
              </w:rPr>
            </w:pPr>
            <w:r w:rsidRPr="00203F50">
              <w:rPr>
                <w:rFonts w:ascii="Aptos" w:hAnsi="Aptos"/>
                <w:b/>
                <w:bCs/>
                <w:sz w:val="22"/>
                <w:szCs w:val="22"/>
              </w:rPr>
              <w:t>Principle 8: Recognise and respond to the heterogeneity within the community/cohort.</w:t>
            </w:r>
          </w:p>
          <w:p w14:paraId="74587EB8" w14:textId="77777777" w:rsidR="00C678B7" w:rsidRPr="00203F50" w:rsidRDefault="00C678B7" w:rsidP="0042751C">
            <w:pPr>
              <w:spacing w:before="0" w:after="0"/>
              <w:rPr>
                <w:rFonts w:ascii="Aptos" w:hAnsi="Aptos"/>
                <w:b/>
                <w:bCs/>
                <w:sz w:val="22"/>
                <w:szCs w:val="22"/>
              </w:rPr>
            </w:pPr>
          </w:p>
        </w:tc>
        <w:tc>
          <w:tcPr>
            <w:tcW w:w="3292" w:type="dxa"/>
          </w:tcPr>
          <w:p w14:paraId="020247E4" w14:textId="77777777" w:rsidR="00C678B7" w:rsidRPr="00203F50" w:rsidRDefault="00C678B7" w:rsidP="0042751C">
            <w:pPr>
              <w:spacing w:before="0" w:after="0"/>
              <w:rPr>
                <w:rFonts w:ascii="Aptos" w:hAnsi="Aptos" w:cs="Arial"/>
                <w:b/>
                <w:bCs/>
                <w:sz w:val="22"/>
                <w:szCs w:val="22"/>
                <w:lang w:val="en-US"/>
              </w:rPr>
            </w:pPr>
            <w:r w:rsidRPr="00203F50">
              <w:rPr>
                <w:rFonts w:ascii="Aptos" w:hAnsi="Aptos" w:cs="Arial"/>
                <w:b/>
                <w:bCs/>
                <w:sz w:val="22"/>
                <w:szCs w:val="22"/>
                <w:lang w:val="en-US"/>
              </w:rPr>
              <w:t>Low</w:t>
            </w:r>
          </w:p>
        </w:tc>
        <w:tc>
          <w:tcPr>
            <w:tcW w:w="3292" w:type="dxa"/>
          </w:tcPr>
          <w:p w14:paraId="2C8CB0CC" w14:textId="789A2E3D" w:rsidR="00C678B7" w:rsidRPr="00203F50" w:rsidRDefault="005742A1" w:rsidP="0042751C">
            <w:pPr>
              <w:spacing w:before="0" w:after="0"/>
              <w:rPr>
                <w:rFonts w:ascii="Aptos" w:hAnsi="Aptos" w:cs="Arial"/>
                <w:sz w:val="22"/>
                <w:szCs w:val="22"/>
                <w:lang w:val="en-US"/>
              </w:rPr>
            </w:pPr>
            <w:r w:rsidRPr="00203F50">
              <w:rPr>
                <w:rFonts w:ascii="Aptos" w:hAnsi="Aptos" w:cs="Arial"/>
                <w:sz w:val="22"/>
                <w:szCs w:val="22"/>
                <w:lang w:val="en-US"/>
              </w:rPr>
              <w:t>Total 5 studies:</w:t>
            </w:r>
            <w:r w:rsidR="00C678B7" w:rsidRPr="00203F50">
              <w:rPr>
                <w:rFonts w:ascii="Aptos" w:hAnsi="Aptos" w:cs="Arial"/>
                <w:sz w:val="22"/>
                <w:szCs w:val="22"/>
                <w:lang w:val="en-US"/>
              </w:rPr>
              <w:t xml:space="preserve"> 4 rated high across methodological criteria; 1 study with minor concern and ‘partial’ clarity in select methodological criteria. Data relevance and coherence was high but fewer studies contributed to this finding therefore data adequacy was lacking.</w:t>
            </w:r>
          </w:p>
        </w:tc>
        <w:tc>
          <w:tcPr>
            <w:tcW w:w="3292" w:type="dxa"/>
          </w:tcPr>
          <w:p w14:paraId="2C675A14"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Duckett &amp; Pratt 2010</w:t>
            </w:r>
          </w:p>
          <w:p w14:paraId="13F78530"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Roy et al. 2018</w:t>
            </w:r>
          </w:p>
          <w:p w14:paraId="19BD46B3"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Jaiswal et al. 2020</w:t>
            </w:r>
          </w:p>
          <w:p w14:paraId="0D4E06B7" w14:textId="77777777" w:rsidR="00C678B7" w:rsidRPr="00203F50" w:rsidRDefault="00C678B7" w:rsidP="0042751C">
            <w:pPr>
              <w:spacing w:before="0" w:after="0"/>
              <w:rPr>
                <w:rFonts w:ascii="Aptos" w:hAnsi="Aptos" w:cs="Arial"/>
                <w:sz w:val="22"/>
                <w:szCs w:val="22"/>
                <w:lang w:val="en-US"/>
              </w:rPr>
            </w:pPr>
            <w:proofErr w:type="spellStart"/>
            <w:r w:rsidRPr="00203F50">
              <w:rPr>
                <w:rFonts w:ascii="Aptos" w:hAnsi="Aptos" w:cs="Arial"/>
                <w:sz w:val="22"/>
                <w:szCs w:val="22"/>
                <w:lang w:val="en-US"/>
              </w:rPr>
              <w:t>Watharow</w:t>
            </w:r>
            <w:proofErr w:type="spellEnd"/>
            <w:r w:rsidRPr="00203F50">
              <w:rPr>
                <w:rFonts w:ascii="Aptos" w:hAnsi="Aptos" w:cs="Arial"/>
                <w:sz w:val="22"/>
                <w:szCs w:val="22"/>
                <w:lang w:val="en-US"/>
              </w:rPr>
              <w:t xml:space="preserve"> &amp; Wayland 2022</w:t>
            </w:r>
          </w:p>
          <w:p w14:paraId="05644B1D" w14:textId="77777777" w:rsidR="00C678B7" w:rsidRPr="00203F50" w:rsidRDefault="00C678B7" w:rsidP="0042751C">
            <w:pPr>
              <w:spacing w:before="0" w:after="0"/>
              <w:rPr>
                <w:rFonts w:ascii="Aptos" w:hAnsi="Aptos" w:cs="Arial"/>
                <w:sz w:val="22"/>
                <w:szCs w:val="22"/>
                <w:lang w:val="en-US"/>
              </w:rPr>
            </w:pPr>
            <w:r w:rsidRPr="00203F50">
              <w:rPr>
                <w:rFonts w:ascii="Aptos" w:hAnsi="Aptos" w:cs="Arial"/>
                <w:sz w:val="22"/>
                <w:szCs w:val="22"/>
                <w:lang w:val="en-US"/>
              </w:rPr>
              <w:t>Wittich et al. 2023</w:t>
            </w:r>
          </w:p>
          <w:p w14:paraId="73A24696" w14:textId="77777777" w:rsidR="00C678B7" w:rsidRPr="00203F50" w:rsidRDefault="00C678B7" w:rsidP="0042751C">
            <w:pPr>
              <w:spacing w:before="0" w:after="0"/>
              <w:rPr>
                <w:rFonts w:ascii="Aptos" w:hAnsi="Aptos" w:cs="Arial"/>
                <w:sz w:val="22"/>
                <w:szCs w:val="22"/>
                <w:lang w:val="en-US"/>
              </w:rPr>
            </w:pPr>
          </w:p>
        </w:tc>
      </w:tr>
    </w:tbl>
    <w:p w14:paraId="0DA541C2" w14:textId="77777777" w:rsidR="00C678B7" w:rsidRPr="00575B02" w:rsidRDefault="00C678B7" w:rsidP="00C678B7">
      <w:pPr>
        <w:rPr>
          <w:rFonts w:asciiTheme="minorHAnsi" w:hAnsiTheme="minorHAnsi" w:cs="Arial"/>
          <w:sz w:val="22"/>
          <w:lang w:val="en-US"/>
        </w:rPr>
      </w:pPr>
      <w:r w:rsidRPr="00575B02">
        <w:rPr>
          <w:rFonts w:asciiTheme="minorHAnsi" w:hAnsiTheme="minorHAnsi" w:cs="Arial"/>
          <w:sz w:val="22"/>
          <w:lang w:val="en-US"/>
        </w:rPr>
        <w:t xml:space="preserve">Footnote: GRADE </w:t>
      </w:r>
      <w:proofErr w:type="spellStart"/>
      <w:r w:rsidRPr="00575B02">
        <w:rPr>
          <w:rFonts w:asciiTheme="minorHAnsi" w:hAnsiTheme="minorHAnsi" w:cs="Arial"/>
          <w:sz w:val="22"/>
          <w:lang w:val="en-US"/>
        </w:rPr>
        <w:t>CERQual</w:t>
      </w:r>
      <w:proofErr w:type="spellEnd"/>
      <w:r w:rsidRPr="00575B02">
        <w:rPr>
          <w:rFonts w:asciiTheme="minorHAnsi" w:hAnsiTheme="minorHAnsi" w:cs="Arial"/>
          <w:sz w:val="22"/>
          <w:lang w:val="en-US"/>
        </w:rPr>
        <w:t>, Grading of Recommendations, Assessment, Development and Evaluation - Confidence in the Evidence from Reviews of Qualitative Research method.</w:t>
      </w:r>
    </w:p>
    <w:p w14:paraId="7028D164" w14:textId="77777777" w:rsidR="00EE4FAE" w:rsidRPr="00176EEF" w:rsidRDefault="00EE4FAE" w:rsidP="00EE4FAE">
      <w:pPr>
        <w:pStyle w:val="Heading1"/>
        <w:spacing w:after="240"/>
      </w:pPr>
      <w:r w:rsidRPr="00176EEF">
        <w:t xml:space="preserve">Appendices </w:t>
      </w:r>
    </w:p>
    <w:p w14:paraId="68F5EDE0" w14:textId="29FA74EA" w:rsidR="00EE4FAE" w:rsidRPr="00176EEF" w:rsidRDefault="00EE4FAE" w:rsidP="00EE4FAE">
      <w:pPr>
        <w:pStyle w:val="Heading2"/>
      </w:pPr>
      <w:r w:rsidRPr="00176EEF">
        <w:t>Supplementary Data – Implementation Research Logic Model</w:t>
      </w:r>
      <w:r w:rsidR="00F6204F" w:rsidRPr="00176EEF">
        <w:t xml:space="preserve"> specific to </w:t>
      </w:r>
      <w:r w:rsidR="00D10344" w:rsidRPr="00176EEF">
        <w:t>informed consent practices.</w:t>
      </w:r>
    </w:p>
    <w:p w14:paraId="0ABAFB87" w14:textId="50FF49E9" w:rsidR="008974D5" w:rsidRPr="00176EEF" w:rsidRDefault="008974D5" w:rsidP="00EE4FAE">
      <w:pPr>
        <w:pStyle w:val="Heading2"/>
      </w:pPr>
      <w:r w:rsidRPr="00E129F6">
        <w:rPr>
          <w:noProof/>
        </w:rPr>
        <mc:AlternateContent>
          <mc:Choice Requires="wps">
            <w:drawing>
              <wp:anchor distT="0" distB="0" distL="114300" distR="114300" simplePos="0" relativeHeight="251660288" behindDoc="0" locked="0" layoutInCell="1" allowOverlap="1" wp14:anchorId="4F5434A0" wp14:editId="66A03F11">
                <wp:simplePos x="0" y="0"/>
                <wp:positionH relativeFrom="column">
                  <wp:posOffset>-363794</wp:posOffset>
                </wp:positionH>
                <wp:positionV relativeFrom="paragraph">
                  <wp:posOffset>67576</wp:posOffset>
                </wp:positionV>
                <wp:extent cx="6499123" cy="599768"/>
                <wp:effectExtent l="0" t="19050" r="35560" b="29210"/>
                <wp:wrapNone/>
                <wp:docPr id="462999207" name="Arrow: Right 1"/>
                <wp:cNvGraphicFramePr/>
                <a:graphic xmlns:a="http://schemas.openxmlformats.org/drawingml/2006/main">
                  <a:graphicData uri="http://schemas.microsoft.com/office/word/2010/wordprocessingShape">
                    <wps:wsp>
                      <wps:cNvSpPr/>
                      <wps:spPr>
                        <a:xfrm>
                          <a:off x="0" y="0"/>
                          <a:ext cx="6499123" cy="599768"/>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95BF94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position:absolute;margin-left:-28.65pt;margin-top:5.3pt;width:511.75pt;height:47.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" adj="20603" fillcolor="#5b9bd5 [3204]" strokecolor="#091723 [484]" strokeweight="1pt"/>
            </w:pict>
          </mc:Fallback>
        </mc:AlternateContent>
      </w:r>
    </w:p>
    <w:tbl>
      <w:tblPr>
        <w:tblStyle w:val="TableGrid"/>
        <w:tblW w:w="13750" w:type="dxa"/>
        <w:tblInd w:w="-58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437"/>
        <w:gridCol w:w="3438"/>
        <w:gridCol w:w="3437"/>
        <w:gridCol w:w="3438"/>
      </w:tblGrid>
      <w:tr w:rsidR="00EE4FAE" w:rsidRPr="00176EEF" w14:paraId="50C107DA" w14:textId="77777777" w:rsidTr="00142F0A">
        <w:tc>
          <w:tcPr>
            <w:tcW w:w="3437" w:type="dxa"/>
          </w:tcPr>
          <w:p w14:paraId="3DB390A7" w14:textId="77777777" w:rsidR="00EE4FAE" w:rsidRPr="00176EEF" w:rsidRDefault="00EE4FAE" w:rsidP="00142F0A">
            <w:pPr>
              <w:pStyle w:val="Heading2"/>
              <w:rPr>
                <w:sz w:val="28"/>
                <w:szCs w:val="28"/>
              </w:rPr>
            </w:pPr>
            <w:r w:rsidRPr="00176EEF">
              <w:rPr>
                <w:sz w:val="28"/>
                <w:szCs w:val="28"/>
              </w:rPr>
              <w:t>Determinants</w:t>
            </w:r>
          </w:p>
        </w:tc>
        <w:tc>
          <w:tcPr>
            <w:tcW w:w="3438" w:type="dxa"/>
          </w:tcPr>
          <w:p w14:paraId="2CC12E30" w14:textId="77777777" w:rsidR="00EE4FAE" w:rsidRPr="00176EEF" w:rsidRDefault="00EE4FAE" w:rsidP="00142F0A">
            <w:pPr>
              <w:pStyle w:val="Heading2"/>
              <w:rPr>
                <w:sz w:val="28"/>
                <w:szCs w:val="28"/>
              </w:rPr>
            </w:pPr>
            <w:r w:rsidRPr="00176EEF">
              <w:rPr>
                <w:sz w:val="28"/>
                <w:szCs w:val="28"/>
              </w:rPr>
              <w:t>Implementation Strategies</w:t>
            </w:r>
          </w:p>
        </w:tc>
        <w:tc>
          <w:tcPr>
            <w:tcW w:w="3437" w:type="dxa"/>
          </w:tcPr>
          <w:p w14:paraId="0A15A0E9" w14:textId="77777777" w:rsidR="00EE4FAE" w:rsidRPr="00176EEF" w:rsidRDefault="00EE4FAE" w:rsidP="00142F0A">
            <w:pPr>
              <w:pStyle w:val="Heading2"/>
              <w:rPr>
                <w:sz w:val="28"/>
                <w:szCs w:val="28"/>
              </w:rPr>
            </w:pPr>
            <w:r w:rsidRPr="00176EEF">
              <w:rPr>
                <w:sz w:val="28"/>
                <w:szCs w:val="28"/>
              </w:rPr>
              <w:t>Mechanisms</w:t>
            </w:r>
          </w:p>
        </w:tc>
        <w:tc>
          <w:tcPr>
            <w:tcW w:w="3438" w:type="dxa"/>
          </w:tcPr>
          <w:p w14:paraId="7ACACA55" w14:textId="7FE549EA" w:rsidR="00EE4FAE" w:rsidRPr="00176EEF" w:rsidRDefault="002C38D2" w:rsidP="00142F0A">
            <w:pPr>
              <w:pStyle w:val="Heading2"/>
              <w:rPr>
                <w:sz w:val="28"/>
                <w:szCs w:val="28"/>
              </w:rPr>
            </w:pPr>
            <w:r w:rsidRPr="00176EEF">
              <w:rPr>
                <w:sz w:val="28"/>
                <w:szCs w:val="28"/>
              </w:rPr>
              <w:t xml:space="preserve">Predicted </w:t>
            </w:r>
            <w:r w:rsidR="00EE4FAE" w:rsidRPr="00176EEF">
              <w:rPr>
                <w:sz w:val="28"/>
                <w:szCs w:val="28"/>
              </w:rPr>
              <w:t>Ou</w:t>
            </w:r>
            <w:r w:rsidR="00FF131C" w:rsidRPr="00176EEF">
              <w:rPr>
                <w:sz w:val="28"/>
                <w:szCs w:val="28"/>
              </w:rPr>
              <w:t>t</w:t>
            </w:r>
            <w:r w:rsidR="00EE4FAE" w:rsidRPr="00176EEF">
              <w:rPr>
                <w:sz w:val="28"/>
                <w:szCs w:val="28"/>
              </w:rPr>
              <w:t>comes</w:t>
            </w:r>
          </w:p>
        </w:tc>
      </w:tr>
      <w:tr w:rsidR="00EE4FAE" w:rsidRPr="00176EEF" w14:paraId="430AF9D2" w14:textId="77777777" w:rsidTr="00142F0A">
        <w:tc>
          <w:tcPr>
            <w:tcW w:w="3437" w:type="dxa"/>
          </w:tcPr>
          <w:p w14:paraId="3271379F" w14:textId="77777777" w:rsidR="003663F2" w:rsidRPr="00176EEF" w:rsidRDefault="003663F2" w:rsidP="003663F2">
            <w:pPr>
              <w:spacing w:before="0" w:after="0" w:line="240" w:lineRule="auto"/>
              <w:rPr>
                <w:rFonts w:ascii="Aptos" w:eastAsia="Times New Roman" w:hAnsi="Aptos" w:cs="Arial"/>
                <w:b/>
                <w:bCs/>
                <w:color w:val="000000"/>
                <w:sz w:val="22"/>
                <w:szCs w:val="22"/>
              </w:rPr>
            </w:pPr>
            <w:r w:rsidRPr="00176EEF">
              <w:rPr>
                <w:rFonts w:ascii="Aptos" w:eastAsia="Times New Roman" w:hAnsi="Aptos" w:cs="Arial"/>
                <w:b/>
                <w:bCs/>
                <w:color w:val="000000"/>
                <w:sz w:val="22"/>
                <w:szCs w:val="22"/>
              </w:rPr>
              <w:t>Innovation elements:</w:t>
            </w:r>
          </w:p>
          <w:p w14:paraId="0D4715DF" w14:textId="77777777" w:rsidR="00F6204F" w:rsidRPr="00176EEF" w:rsidRDefault="00F6204F" w:rsidP="00F6204F">
            <w:pPr>
              <w:numPr>
                <w:ilvl w:val="0"/>
                <w:numId w:val="15"/>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Adaptable, flexibility.</w:t>
            </w:r>
          </w:p>
          <w:p w14:paraId="7B1ECEC5" w14:textId="77777777" w:rsidR="00F6204F" w:rsidRPr="00176EEF" w:rsidRDefault="00F6204F" w:rsidP="00F6204F">
            <w:pPr>
              <w:numPr>
                <w:ilvl w:val="0"/>
                <w:numId w:val="15"/>
              </w:numPr>
              <w:spacing w:before="0" w:after="0" w:line="240" w:lineRule="auto"/>
              <w:ind w:left="573"/>
              <w:textAlignment w:val="baseline"/>
              <w:rPr>
                <w:rFonts w:ascii="Aptos" w:eastAsia="Times New Roman" w:hAnsi="Aptos" w:cs="Arial"/>
                <w:color w:val="000000"/>
                <w:sz w:val="22"/>
                <w:szCs w:val="22"/>
              </w:rPr>
            </w:pPr>
            <w:proofErr w:type="gramStart"/>
            <w:r w:rsidRPr="00176EEF">
              <w:rPr>
                <w:rFonts w:ascii="Aptos" w:eastAsia="Times New Roman" w:hAnsi="Aptos" w:cs="Arial"/>
                <w:color w:val="000000"/>
                <w:sz w:val="22"/>
                <w:szCs w:val="22"/>
              </w:rPr>
              <w:t>Low cost</w:t>
            </w:r>
            <w:proofErr w:type="gramEnd"/>
            <w:r w:rsidRPr="00176EEF">
              <w:rPr>
                <w:rFonts w:ascii="Aptos" w:eastAsia="Times New Roman" w:hAnsi="Aptos" w:cs="Arial"/>
                <w:color w:val="000000"/>
                <w:sz w:val="22"/>
                <w:szCs w:val="22"/>
              </w:rPr>
              <w:t xml:space="preserve"> production.</w:t>
            </w:r>
          </w:p>
          <w:p w14:paraId="202BACB0" w14:textId="052B4A81" w:rsidR="00F6204F" w:rsidRPr="00176EEF" w:rsidRDefault="00F6204F" w:rsidP="003663F2">
            <w:pPr>
              <w:numPr>
                <w:ilvl w:val="0"/>
                <w:numId w:val="15"/>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Relative advantage to previous standard.</w:t>
            </w:r>
          </w:p>
          <w:p w14:paraId="377C179B" w14:textId="20F754CF" w:rsidR="00E643B7" w:rsidRPr="00176EEF" w:rsidRDefault="00E643B7" w:rsidP="00E643B7">
            <w:pPr>
              <w:spacing w:before="0" w:after="0" w:line="240" w:lineRule="auto"/>
              <w:rPr>
                <w:rFonts w:ascii="Aptos" w:eastAsia="Times New Roman" w:hAnsi="Aptos" w:cs="Times New Roman"/>
                <w:b/>
                <w:bCs/>
                <w:sz w:val="22"/>
                <w:szCs w:val="22"/>
              </w:rPr>
            </w:pPr>
            <w:r w:rsidRPr="00176EEF">
              <w:rPr>
                <w:rFonts w:ascii="Aptos" w:eastAsia="Times New Roman" w:hAnsi="Aptos" w:cs="Arial"/>
                <w:b/>
                <w:bCs/>
                <w:color w:val="000000"/>
                <w:sz w:val="22"/>
                <w:szCs w:val="22"/>
              </w:rPr>
              <w:t>Inner Setting: Organisation level:</w:t>
            </w:r>
          </w:p>
          <w:p w14:paraId="2EA25A3E" w14:textId="612CFA24" w:rsidR="00E643B7" w:rsidRPr="00176EEF" w:rsidRDefault="00E643B7" w:rsidP="00E643B7">
            <w:pPr>
              <w:numPr>
                <w:ilvl w:val="0"/>
                <w:numId w:val="15"/>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Provision of quiet spaces.</w:t>
            </w:r>
          </w:p>
          <w:p w14:paraId="256CDA8F" w14:textId="77777777" w:rsidR="00E643B7" w:rsidRPr="00176EEF" w:rsidRDefault="00E643B7" w:rsidP="00E643B7">
            <w:pPr>
              <w:numPr>
                <w:ilvl w:val="0"/>
                <w:numId w:val="15"/>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Consider room layout, lighting.</w:t>
            </w:r>
          </w:p>
          <w:p w14:paraId="5C097837" w14:textId="77777777" w:rsidR="00E643B7" w:rsidRPr="00176EEF" w:rsidRDefault="00E643B7" w:rsidP="00E643B7">
            <w:pPr>
              <w:numPr>
                <w:ilvl w:val="0"/>
                <w:numId w:val="15"/>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Access to qualified interpreters and communication support workers.</w:t>
            </w:r>
          </w:p>
          <w:p w14:paraId="7255AEC5" w14:textId="77777777" w:rsidR="00E643B7" w:rsidRPr="00176EEF" w:rsidRDefault="00E643B7" w:rsidP="00E643B7">
            <w:pPr>
              <w:numPr>
                <w:ilvl w:val="0"/>
                <w:numId w:val="15"/>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Dedicated budget for accessibility and communication supports. </w:t>
            </w:r>
          </w:p>
          <w:p w14:paraId="5C1E9EC5" w14:textId="77777777" w:rsidR="00E643B7" w:rsidRPr="00176EEF" w:rsidRDefault="00E643B7" w:rsidP="00E643B7">
            <w:pPr>
              <w:numPr>
                <w:ilvl w:val="0"/>
                <w:numId w:val="15"/>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 xml:space="preserve">Access to assistive technology, devices and </w:t>
            </w:r>
            <w:proofErr w:type="spellStart"/>
            <w:r w:rsidRPr="00176EEF">
              <w:rPr>
                <w:rFonts w:ascii="Aptos" w:eastAsia="Times New Roman" w:hAnsi="Aptos" w:cs="Arial"/>
                <w:color w:val="000000"/>
                <w:sz w:val="22"/>
                <w:szCs w:val="22"/>
              </w:rPr>
              <w:t>Wifi</w:t>
            </w:r>
            <w:proofErr w:type="spellEnd"/>
            <w:r w:rsidRPr="00176EEF">
              <w:rPr>
                <w:rFonts w:ascii="Aptos" w:eastAsia="Times New Roman" w:hAnsi="Aptos" w:cs="Arial"/>
                <w:color w:val="000000"/>
                <w:sz w:val="22"/>
                <w:szCs w:val="22"/>
              </w:rPr>
              <w:t>.</w:t>
            </w:r>
          </w:p>
          <w:p w14:paraId="1DBDD84A" w14:textId="77777777" w:rsidR="00E643B7" w:rsidRPr="00176EEF" w:rsidRDefault="00E643B7" w:rsidP="00E643B7">
            <w:pPr>
              <w:numPr>
                <w:ilvl w:val="0"/>
                <w:numId w:val="15"/>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Establish pathway to provide information in Braille i.e. establish collaboration with service provider.</w:t>
            </w:r>
          </w:p>
          <w:p w14:paraId="1FD310B1" w14:textId="77777777" w:rsidR="003663F2" w:rsidRPr="00176EEF" w:rsidRDefault="003663F2" w:rsidP="003663F2">
            <w:pPr>
              <w:spacing w:before="0" w:after="0" w:line="240" w:lineRule="auto"/>
              <w:rPr>
                <w:rFonts w:ascii="Aptos" w:eastAsia="Times New Roman" w:hAnsi="Aptos" w:cs="Times New Roman"/>
                <w:b/>
                <w:bCs/>
                <w:sz w:val="22"/>
                <w:szCs w:val="22"/>
              </w:rPr>
            </w:pPr>
            <w:r w:rsidRPr="00176EEF">
              <w:rPr>
                <w:rFonts w:ascii="Aptos" w:eastAsia="Times New Roman" w:hAnsi="Aptos" w:cs="Arial"/>
                <w:b/>
                <w:bCs/>
                <w:color w:val="000000"/>
                <w:sz w:val="22"/>
                <w:szCs w:val="22"/>
              </w:rPr>
              <w:t>Outer Setting: Sector level:</w:t>
            </w:r>
          </w:p>
          <w:p w14:paraId="7F3414B6" w14:textId="77777777" w:rsidR="003663F2" w:rsidRPr="00176EEF" w:rsidRDefault="003663F2" w:rsidP="003663F2">
            <w:pPr>
              <w:numPr>
                <w:ilvl w:val="0"/>
                <w:numId w:val="17"/>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Ensure compliance with digital accessibility standards.</w:t>
            </w:r>
          </w:p>
          <w:p w14:paraId="0C0B9616" w14:textId="77777777" w:rsidR="003663F2" w:rsidRPr="00176EEF" w:rsidRDefault="003663F2" w:rsidP="003663F2">
            <w:pPr>
              <w:numPr>
                <w:ilvl w:val="0"/>
                <w:numId w:val="17"/>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Mandate informed consent training.</w:t>
            </w:r>
          </w:p>
          <w:p w14:paraId="33898928" w14:textId="77777777" w:rsidR="003663F2" w:rsidRPr="00176EEF" w:rsidRDefault="003663F2" w:rsidP="003663F2">
            <w:pPr>
              <w:numPr>
                <w:ilvl w:val="0"/>
                <w:numId w:val="17"/>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Communication standards for staff.</w:t>
            </w:r>
          </w:p>
          <w:p w14:paraId="3E5FA217" w14:textId="77777777" w:rsidR="003663F2" w:rsidRPr="00176EEF" w:rsidRDefault="003663F2" w:rsidP="003663F2">
            <w:pPr>
              <w:numPr>
                <w:ilvl w:val="0"/>
                <w:numId w:val="17"/>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Deaf people have a right to an interpreter for all interactions.</w:t>
            </w:r>
          </w:p>
          <w:p w14:paraId="18E5A188" w14:textId="77777777" w:rsidR="0074793E" w:rsidRPr="00176EEF" w:rsidRDefault="0074793E" w:rsidP="0074793E">
            <w:pPr>
              <w:spacing w:before="0" w:after="0" w:line="240" w:lineRule="auto"/>
              <w:rPr>
                <w:rFonts w:ascii="Aptos" w:eastAsia="Times New Roman" w:hAnsi="Aptos" w:cs="Times New Roman"/>
                <w:b/>
                <w:bCs/>
                <w:sz w:val="22"/>
                <w:szCs w:val="22"/>
              </w:rPr>
            </w:pPr>
            <w:r w:rsidRPr="00176EEF">
              <w:rPr>
                <w:rFonts w:ascii="Aptos" w:eastAsia="Times New Roman" w:hAnsi="Aptos" w:cs="Arial"/>
                <w:b/>
                <w:bCs/>
                <w:color w:val="000000"/>
                <w:sz w:val="22"/>
                <w:szCs w:val="22"/>
              </w:rPr>
              <w:t>Individuals: Researchers:</w:t>
            </w:r>
          </w:p>
          <w:p w14:paraId="3C729EC5" w14:textId="77777777" w:rsidR="0074793E" w:rsidRPr="00176EEF" w:rsidRDefault="0074793E" w:rsidP="0074793E">
            <w:pPr>
              <w:numPr>
                <w:ilvl w:val="0"/>
                <w:numId w:val="18"/>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Investment of time to prepare and conduct process.</w:t>
            </w:r>
          </w:p>
          <w:p w14:paraId="1441C688" w14:textId="77777777" w:rsidR="0074793E" w:rsidRPr="00176EEF" w:rsidRDefault="0074793E" w:rsidP="0074793E">
            <w:pPr>
              <w:numPr>
                <w:ilvl w:val="0"/>
                <w:numId w:val="18"/>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Upskilling to develop skills and knowledge in adaptable practice.</w:t>
            </w:r>
          </w:p>
          <w:p w14:paraId="3A6A1684" w14:textId="77777777" w:rsidR="0074793E" w:rsidRPr="00176EEF" w:rsidRDefault="0074793E" w:rsidP="0074793E">
            <w:pPr>
              <w:numPr>
                <w:ilvl w:val="0"/>
                <w:numId w:val="18"/>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Explain what you are doing and when (verbal clues and cues) helpful for people with vision impairment. </w:t>
            </w:r>
          </w:p>
          <w:p w14:paraId="12EE87E5" w14:textId="77777777" w:rsidR="0074793E" w:rsidRPr="00176EEF" w:rsidRDefault="0074793E" w:rsidP="0074793E">
            <w:pPr>
              <w:numPr>
                <w:ilvl w:val="0"/>
                <w:numId w:val="18"/>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Planning (see under implementation strategies).</w:t>
            </w:r>
          </w:p>
          <w:p w14:paraId="3839438A" w14:textId="77777777" w:rsidR="0074793E" w:rsidRPr="00176EEF" w:rsidRDefault="0074793E" w:rsidP="0074793E">
            <w:pPr>
              <w:spacing w:before="0" w:after="0" w:line="240" w:lineRule="auto"/>
              <w:rPr>
                <w:rFonts w:ascii="Aptos" w:eastAsia="Times New Roman" w:hAnsi="Aptos" w:cs="Times New Roman"/>
                <w:b/>
                <w:bCs/>
                <w:sz w:val="22"/>
                <w:szCs w:val="22"/>
              </w:rPr>
            </w:pPr>
            <w:r w:rsidRPr="00176EEF">
              <w:rPr>
                <w:rFonts w:ascii="Aptos" w:eastAsia="Times New Roman" w:hAnsi="Aptos" w:cs="Arial"/>
                <w:b/>
                <w:bCs/>
                <w:color w:val="000000"/>
                <w:sz w:val="22"/>
                <w:szCs w:val="22"/>
              </w:rPr>
              <w:t>Process:</w:t>
            </w:r>
          </w:p>
          <w:p w14:paraId="07E0D22A" w14:textId="77777777" w:rsidR="0074793E" w:rsidRPr="00176EEF" w:rsidRDefault="0074793E" w:rsidP="0074793E">
            <w:pPr>
              <w:numPr>
                <w:ilvl w:val="0"/>
                <w:numId w:val="19"/>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Ensure multiple ways to express, receive and record data.</w:t>
            </w:r>
          </w:p>
          <w:p w14:paraId="56EB3E3E" w14:textId="77777777" w:rsidR="0074793E" w:rsidRPr="00176EEF" w:rsidRDefault="0074793E" w:rsidP="0074793E">
            <w:pPr>
              <w:numPr>
                <w:ilvl w:val="0"/>
                <w:numId w:val="19"/>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Design research that captures heterogeneity of population.</w:t>
            </w:r>
          </w:p>
          <w:p w14:paraId="19BFB814" w14:textId="77777777" w:rsidR="0074793E" w:rsidRPr="00176EEF" w:rsidRDefault="0074793E" w:rsidP="0074793E">
            <w:pPr>
              <w:numPr>
                <w:ilvl w:val="0"/>
                <w:numId w:val="19"/>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Design process with consumers so that its usable, practical and accessible.</w:t>
            </w:r>
          </w:p>
          <w:p w14:paraId="05538ED8" w14:textId="77777777" w:rsidR="00E643B7" w:rsidRPr="00176EEF" w:rsidRDefault="00E643B7" w:rsidP="00E643B7">
            <w:pPr>
              <w:pStyle w:val="Heading2"/>
              <w:rPr>
                <w:rFonts w:ascii="Aptos" w:hAnsi="Aptos"/>
                <w:b w:val="0"/>
                <w:bCs w:val="0"/>
                <w:sz w:val="22"/>
                <w:szCs w:val="22"/>
              </w:rPr>
            </w:pPr>
          </w:p>
          <w:p w14:paraId="18572278" w14:textId="77777777" w:rsidR="00EE4FAE" w:rsidRPr="00176EEF" w:rsidRDefault="00EE4FAE" w:rsidP="00142F0A">
            <w:pPr>
              <w:pStyle w:val="Heading2"/>
              <w:rPr>
                <w:rFonts w:ascii="Aptos" w:hAnsi="Aptos"/>
                <w:sz w:val="22"/>
                <w:szCs w:val="22"/>
              </w:rPr>
            </w:pPr>
          </w:p>
        </w:tc>
        <w:tc>
          <w:tcPr>
            <w:tcW w:w="3438" w:type="dxa"/>
          </w:tcPr>
          <w:p w14:paraId="171304F4" w14:textId="77777777" w:rsidR="00D115D7" w:rsidRPr="00176EEF" w:rsidRDefault="00D115D7" w:rsidP="00D115D7">
            <w:pPr>
              <w:spacing w:before="0" w:after="0" w:line="240" w:lineRule="auto"/>
              <w:rPr>
                <w:rFonts w:ascii="Aptos" w:eastAsia="Times New Roman" w:hAnsi="Aptos" w:cs="Times New Roman"/>
                <w:b/>
                <w:bCs/>
                <w:sz w:val="22"/>
                <w:szCs w:val="22"/>
              </w:rPr>
            </w:pPr>
            <w:r w:rsidRPr="00176EEF">
              <w:rPr>
                <w:rFonts w:ascii="Aptos" w:eastAsia="Times New Roman" w:hAnsi="Aptos" w:cs="Arial"/>
                <w:b/>
                <w:bCs/>
                <w:color w:val="000000"/>
                <w:sz w:val="22"/>
                <w:szCs w:val="22"/>
              </w:rPr>
              <w:t>Tailoring strategies:</w:t>
            </w:r>
          </w:p>
          <w:p w14:paraId="4FB1C1A2" w14:textId="77777777" w:rsidR="00D115D7" w:rsidRPr="00176EEF" w:rsidRDefault="00D115D7" w:rsidP="00D115D7">
            <w:pPr>
              <w:numPr>
                <w:ilvl w:val="0"/>
                <w:numId w:val="20"/>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Offer to read aloud PICF.</w:t>
            </w:r>
          </w:p>
          <w:p w14:paraId="715E3825" w14:textId="77777777" w:rsidR="00D115D7" w:rsidRPr="00176EEF" w:rsidRDefault="00D115D7" w:rsidP="00D115D7">
            <w:pPr>
              <w:numPr>
                <w:ilvl w:val="0"/>
                <w:numId w:val="20"/>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Alternative print formats for PICF i.e. Easy-Read, large font, simplified summary (supplement to main document). </w:t>
            </w:r>
          </w:p>
          <w:p w14:paraId="469CCA8B" w14:textId="77777777" w:rsidR="00D115D7" w:rsidRPr="00176EEF" w:rsidRDefault="00D115D7" w:rsidP="00D115D7">
            <w:pPr>
              <w:numPr>
                <w:ilvl w:val="0"/>
                <w:numId w:val="20"/>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Materials written in plain language.</w:t>
            </w:r>
          </w:p>
          <w:p w14:paraId="08130DF1" w14:textId="77777777" w:rsidR="00D115D7" w:rsidRPr="00176EEF" w:rsidRDefault="00D115D7" w:rsidP="00D115D7">
            <w:pPr>
              <w:numPr>
                <w:ilvl w:val="0"/>
                <w:numId w:val="20"/>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Allow extra time.</w:t>
            </w:r>
          </w:p>
          <w:p w14:paraId="5E0A890D" w14:textId="77777777" w:rsidR="00D115D7" w:rsidRPr="00176EEF" w:rsidRDefault="00D115D7" w:rsidP="00D115D7">
            <w:pPr>
              <w:numPr>
                <w:ilvl w:val="0"/>
                <w:numId w:val="20"/>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Provide in accessible electronic formats i.e., docx, html, rtf.</w:t>
            </w:r>
          </w:p>
          <w:p w14:paraId="5538A1E5" w14:textId="77777777" w:rsidR="00D115D7" w:rsidRPr="00176EEF" w:rsidRDefault="00D115D7" w:rsidP="00D115D7">
            <w:pPr>
              <w:numPr>
                <w:ilvl w:val="0"/>
                <w:numId w:val="20"/>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Provide in audio and video formats; video in sign language.</w:t>
            </w:r>
          </w:p>
          <w:p w14:paraId="78A7B6CA" w14:textId="77777777" w:rsidR="00D115D7" w:rsidRPr="00176EEF" w:rsidRDefault="00D115D7" w:rsidP="00D115D7">
            <w:pPr>
              <w:numPr>
                <w:ilvl w:val="0"/>
                <w:numId w:val="20"/>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Captioning during consent discussion.</w:t>
            </w:r>
          </w:p>
          <w:p w14:paraId="551C531A" w14:textId="77777777" w:rsidR="00D115D7" w:rsidRPr="00176EEF" w:rsidRDefault="00D115D7" w:rsidP="00D115D7">
            <w:pPr>
              <w:numPr>
                <w:ilvl w:val="0"/>
                <w:numId w:val="20"/>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Provision of transcript in accessible format after consent discussion. </w:t>
            </w:r>
          </w:p>
          <w:p w14:paraId="4DCBE215" w14:textId="77777777" w:rsidR="00D115D7" w:rsidRPr="00176EEF" w:rsidRDefault="00D115D7" w:rsidP="00D115D7">
            <w:pPr>
              <w:spacing w:before="0" w:after="0" w:line="240" w:lineRule="auto"/>
              <w:rPr>
                <w:rFonts w:ascii="Aptos" w:eastAsia="Times New Roman" w:hAnsi="Aptos" w:cs="Times New Roman"/>
                <w:b/>
                <w:bCs/>
                <w:sz w:val="22"/>
                <w:szCs w:val="22"/>
              </w:rPr>
            </w:pPr>
            <w:r w:rsidRPr="00176EEF">
              <w:rPr>
                <w:rFonts w:ascii="Aptos" w:eastAsia="Times New Roman" w:hAnsi="Aptos" w:cs="Arial"/>
                <w:b/>
                <w:bCs/>
                <w:color w:val="000000"/>
                <w:sz w:val="22"/>
                <w:szCs w:val="22"/>
              </w:rPr>
              <w:t>Engaging others:</w:t>
            </w:r>
          </w:p>
          <w:p w14:paraId="21AD144D" w14:textId="77777777" w:rsidR="00D115D7" w:rsidRPr="00176EEF" w:rsidRDefault="00D115D7" w:rsidP="00D115D7">
            <w:pPr>
              <w:numPr>
                <w:ilvl w:val="0"/>
                <w:numId w:val="21"/>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Early engagement with community services for researcher to understand population needs.</w:t>
            </w:r>
          </w:p>
          <w:p w14:paraId="07F08B31" w14:textId="77777777" w:rsidR="00D115D7" w:rsidRPr="00176EEF" w:rsidRDefault="00D115D7" w:rsidP="00D115D7">
            <w:pPr>
              <w:numPr>
                <w:ilvl w:val="0"/>
                <w:numId w:val="21"/>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Involve communications facilitator in consent discussion.</w:t>
            </w:r>
          </w:p>
          <w:p w14:paraId="321899A3" w14:textId="77777777" w:rsidR="00D115D7" w:rsidRPr="00176EEF" w:rsidRDefault="00D115D7" w:rsidP="00D115D7">
            <w:pPr>
              <w:numPr>
                <w:ilvl w:val="0"/>
                <w:numId w:val="21"/>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 xml:space="preserve">Researcher works with collaborative community partners </w:t>
            </w:r>
            <w:proofErr w:type="gramStart"/>
            <w:r w:rsidRPr="00176EEF">
              <w:rPr>
                <w:rFonts w:ascii="Aptos" w:eastAsia="Times New Roman" w:hAnsi="Aptos" w:cs="Arial"/>
                <w:color w:val="000000"/>
                <w:sz w:val="22"/>
                <w:szCs w:val="22"/>
              </w:rPr>
              <w:t>throughout  process</w:t>
            </w:r>
            <w:proofErr w:type="gramEnd"/>
            <w:r w:rsidRPr="00176EEF">
              <w:rPr>
                <w:rFonts w:ascii="Aptos" w:eastAsia="Times New Roman" w:hAnsi="Aptos" w:cs="Arial"/>
                <w:color w:val="000000"/>
                <w:sz w:val="22"/>
                <w:szCs w:val="22"/>
              </w:rPr>
              <w:t>.</w:t>
            </w:r>
          </w:p>
          <w:p w14:paraId="74CADCF3" w14:textId="77777777" w:rsidR="00D115D7" w:rsidRPr="00176EEF" w:rsidRDefault="00D115D7" w:rsidP="00D115D7">
            <w:pPr>
              <w:numPr>
                <w:ilvl w:val="0"/>
                <w:numId w:val="21"/>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Use of qualified, high quality (fluent) sign language interpreters.</w:t>
            </w:r>
          </w:p>
          <w:p w14:paraId="14446BF9" w14:textId="77777777" w:rsidR="00FA44BF" w:rsidRPr="00176EEF" w:rsidRDefault="00FA44BF" w:rsidP="00FA44BF">
            <w:pPr>
              <w:spacing w:before="0" w:after="0" w:line="240" w:lineRule="auto"/>
              <w:rPr>
                <w:rFonts w:ascii="Aptos" w:eastAsia="Times New Roman" w:hAnsi="Aptos" w:cs="Times New Roman"/>
                <w:b/>
                <w:bCs/>
                <w:sz w:val="22"/>
                <w:szCs w:val="22"/>
              </w:rPr>
            </w:pPr>
            <w:r w:rsidRPr="00176EEF">
              <w:rPr>
                <w:rFonts w:ascii="Aptos" w:eastAsia="Times New Roman" w:hAnsi="Aptos" w:cs="Arial"/>
                <w:b/>
                <w:bCs/>
                <w:color w:val="000000"/>
                <w:sz w:val="22"/>
                <w:szCs w:val="22"/>
              </w:rPr>
              <w:t>Assessing Needs of Participants:</w:t>
            </w:r>
          </w:p>
          <w:p w14:paraId="1FEED8AB" w14:textId="77777777" w:rsidR="00FA44BF" w:rsidRPr="00176EEF" w:rsidRDefault="00FA44BF" w:rsidP="00FA44BF">
            <w:pPr>
              <w:numPr>
                <w:ilvl w:val="0"/>
                <w:numId w:val="22"/>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Early ask of individual preferences.</w:t>
            </w:r>
          </w:p>
          <w:p w14:paraId="28FAEE37" w14:textId="77777777" w:rsidR="00FA44BF" w:rsidRPr="00176EEF" w:rsidRDefault="00FA44BF" w:rsidP="00FA44BF">
            <w:pPr>
              <w:numPr>
                <w:ilvl w:val="0"/>
                <w:numId w:val="22"/>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Frequent check ins.</w:t>
            </w:r>
          </w:p>
          <w:p w14:paraId="3D918281" w14:textId="27540D97" w:rsidR="00FA44BF" w:rsidRPr="00176EEF" w:rsidRDefault="00FA44BF" w:rsidP="00FA44BF">
            <w:pPr>
              <w:numPr>
                <w:ilvl w:val="0"/>
                <w:numId w:val="22"/>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 xml:space="preserve">Avoid proxy consent; </w:t>
            </w:r>
            <w:r w:rsidR="00176EEF" w:rsidRPr="00BE6783">
              <w:rPr>
                <w:rFonts w:ascii="Aptos" w:eastAsia="Times New Roman" w:hAnsi="Aptos" w:cs="Arial"/>
                <w:color w:val="000000"/>
                <w:sz w:val="22"/>
                <w:szCs w:val="22"/>
              </w:rPr>
              <w:t xml:space="preserve">prioritise independence and verify </w:t>
            </w:r>
            <w:r w:rsidRPr="00176EEF">
              <w:rPr>
                <w:rFonts w:ascii="Aptos" w:eastAsia="Times New Roman" w:hAnsi="Aptos" w:cs="Arial"/>
                <w:color w:val="000000"/>
                <w:sz w:val="22"/>
                <w:szCs w:val="22"/>
              </w:rPr>
              <w:t xml:space="preserve">if used. </w:t>
            </w:r>
          </w:p>
          <w:p w14:paraId="1248767E" w14:textId="77777777" w:rsidR="00FA44BF" w:rsidRPr="00176EEF" w:rsidRDefault="00FA44BF" w:rsidP="00FA44BF">
            <w:pPr>
              <w:numPr>
                <w:ilvl w:val="0"/>
                <w:numId w:val="22"/>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Communication preference interfaces i.e., WhatsApp, Facebook messenger (familiarity and usability).</w:t>
            </w:r>
          </w:p>
          <w:p w14:paraId="7D3DF4D1" w14:textId="77777777" w:rsidR="00FA44BF" w:rsidRPr="00176EEF" w:rsidRDefault="00FA44BF" w:rsidP="00FA44BF">
            <w:pPr>
              <w:spacing w:before="0" w:after="0" w:line="240" w:lineRule="auto"/>
              <w:rPr>
                <w:rFonts w:ascii="Aptos" w:eastAsia="Times New Roman" w:hAnsi="Aptos" w:cs="Times New Roman"/>
                <w:b/>
                <w:bCs/>
                <w:sz w:val="22"/>
                <w:szCs w:val="22"/>
              </w:rPr>
            </w:pPr>
            <w:r w:rsidRPr="00176EEF">
              <w:rPr>
                <w:rFonts w:ascii="Aptos" w:eastAsia="Times New Roman" w:hAnsi="Aptos" w:cs="Arial"/>
                <w:b/>
                <w:bCs/>
                <w:color w:val="000000"/>
                <w:sz w:val="22"/>
                <w:szCs w:val="22"/>
              </w:rPr>
              <w:t>Training &amp; education for Researchers:</w:t>
            </w:r>
          </w:p>
          <w:p w14:paraId="4CE60065" w14:textId="77777777" w:rsidR="00FA44BF" w:rsidRPr="00176EEF" w:rsidRDefault="00FA44BF" w:rsidP="00FA44BF">
            <w:pPr>
              <w:numPr>
                <w:ilvl w:val="0"/>
                <w:numId w:val="23"/>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Learn about culture through disability support organisations (i.e. attend their meetings); early immersion in community.</w:t>
            </w:r>
          </w:p>
          <w:p w14:paraId="2EA9EFF2" w14:textId="77777777" w:rsidR="00FA44BF" w:rsidRPr="00176EEF" w:rsidRDefault="00FA44BF" w:rsidP="00FA44BF">
            <w:pPr>
              <w:numPr>
                <w:ilvl w:val="0"/>
                <w:numId w:val="23"/>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Know how to create accessible print documents.</w:t>
            </w:r>
          </w:p>
          <w:p w14:paraId="4866D4CE" w14:textId="77777777" w:rsidR="00FA44BF" w:rsidRPr="00176EEF" w:rsidRDefault="00FA44BF" w:rsidP="00FA44BF">
            <w:pPr>
              <w:numPr>
                <w:ilvl w:val="0"/>
                <w:numId w:val="23"/>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How to be a sighted guide.</w:t>
            </w:r>
          </w:p>
          <w:p w14:paraId="2BFEBE06" w14:textId="77777777" w:rsidR="00FA44BF" w:rsidRPr="00176EEF" w:rsidRDefault="00FA44BF" w:rsidP="00FA44BF">
            <w:pPr>
              <w:numPr>
                <w:ilvl w:val="0"/>
                <w:numId w:val="23"/>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How to effectively use captioning.</w:t>
            </w:r>
          </w:p>
          <w:p w14:paraId="00B91B6D" w14:textId="77777777" w:rsidR="00FA44BF" w:rsidRPr="00176EEF" w:rsidRDefault="00FA44BF" w:rsidP="00FA44BF">
            <w:pPr>
              <w:spacing w:before="0" w:after="0" w:line="240" w:lineRule="auto"/>
              <w:rPr>
                <w:rFonts w:ascii="Aptos" w:eastAsia="Times New Roman" w:hAnsi="Aptos" w:cs="Times New Roman"/>
                <w:b/>
                <w:bCs/>
                <w:sz w:val="22"/>
                <w:szCs w:val="22"/>
              </w:rPr>
            </w:pPr>
            <w:r w:rsidRPr="00176EEF">
              <w:rPr>
                <w:rFonts w:ascii="Aptos" w:eastAsia="Times New Roman" w:hAnsi="Aptos" w:cs="Arial"/>
                <w:b/>
                <w:bCs/>
                <w:color w:val="000000"/>
                <w:sz w:val="22"/>
                <w:szCs w:val="22"/>
              </w:rPr>
              <w:t>Cycles of change:</w:t>
            </w:r>
          </w:p>
          <w:p w14:paraId="585DE795" w14:textId="77777777" w:rsidR="00FA44BF" w:rsidRPr="00176EEF" w:rsidRDefault="00FA44BF" w:rsidP="00FA44BF">
            <w:pPr>
              <w:numPr>
                <w:ilvl w:val="0"/>
                <w:numId w:val="24"/>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Provide multiple opportunities to confirm and withdraw consent; reconfirm re consent at regular intervals.</w:t>
            </w:r>
          </w:p>
          <w:p w14:paraId="258A27CF" w14:textId="77777777" w:rsidR="00FA44BF" w:rsidRPr="00176EEF" w:rsidRDefault="00FA44BF" w:rsidP="00FA44BF">
            <w:pPr>
              <w:numPr>
                <w:ilvl w:val="0"/>
                <w:numId w:val="24"/>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 xml:space="preserve">More complex information requires more time; </w:t>
            </w:r>
            <w:proofErr w:type="gramStart"/>
            <w:r w:rsidRPr="00176EEF">
              <w:rPr>
                <w:rFonts w:ascii="Aptos" w:eastAsia="Times New Roman" w:hAnsi="Aptos" w:cs="Arial"/>
                <w:color w:val="000000"/>
                <w:sz w:val="22"/>
                <w:szCs w:val="22"/>
              </w:rPr>
              <w:t>thus</w:t>
            </w:r>
            <w:proofErr w:type="gramEnd"/>
            <w:r w:rsidRPr="00176EEF">
              <w:rPr>
                <w:rFonts w:ascii="Aptos" w:eastAsia="Times New Roman" w:hAnsi="Aptos" w:cs="Arial"/>
                <w:color w:val="000000"/>
                <w:sz w:val="22"/>
                <w:szCs w:val="22"/>
              </w:rPr>
              <w:t xml:space="preserve"> smaller amounts of information across multiple timepoints.</w:t>
            </w:r>
          </w:p>
          <w:p w14:paraId="4025E5A0" w14:textId="77777777" w:rsidR="00FA44BF" w:rsidRPr="00176EEF" w:rsidRDefault="00FA44BF" w:rsidP="00FA44BF">
            <w:pPr>
              <w:numPr>
                <w:ilvl w:val="0"/>
                <w:numId w:val="24"/>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Offer accurate up to date information over time.</w:t>
            </w:r>
          </w:p>
          <w:p w14:paraId="0D375118" w14:textId="77777777" w:rsidR="00C17478" w:rsidRPr="00176EEF" w:rsidRDefault="00C17478" w:rsidP="00C17478">
            <w:pPr>
              <w:numPr>
                <w:ilvl w:val="0"/>
                <w:numId w:val="25"/>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Early ask of individual preferences.</w:t>
            </w:r>
          </w:p>
          <w:p w14:paraId="1E2EC6E9" w14:textId="77777777" w:rsidR="00C17478" w:rsidRPr="00176EEF" w:rsidRDefault="00C17478" w:rsidP="00C17478">
            <w:pPr>
              <w:numPr>
                <w:ilvl w:val="0"/>
                <w:numId w:val="25"/>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Two signers to attend consent discussion (to allow for breaks).</w:t>
            </w:r>
          </w:p>
          <w:p w14:paraId="03918D2C" w14:textId="77777777" w:rsidR="00C17478" w:rsidRPr="00176EEF" w:rsidRDefault="00C17478" w:rsidP="00C17478">
            <w:pPr>
              <w:numPr>
                <w:ilvl w:val="0"/>
                <w:numId w:val="25"/>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Consideration toward number of people present and power imbalance.</w:t>
            </w:r>
          </w:p>
          <w:p w14:paraId="01E19121" w14:textId="77777777" w:rsidR="00C17478" w:rsidRPr="00176EEF" w:rsidRDefault="00C17478" w:rsidP="00C17478">
            <w:pPr>
              <w:numPr>
                <w:ilvl w:val="0"/>
                <w:numId w:val="25"/>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Print materials i.e. PICF provided in advance of appointment (2 weeks); these in preferred formats such as editable electronic version in uniform contrast and colour.</w:t>
            </w:r>
          </w:p>
          <w:p w14:paraId="45893EAF" w14:textId="77777777" w:rsidR="00C17478" w:rsidRPr="00176EEF" w:rsidRDefault="00C17478" w:rsidP="00C17478">
            <w:pPr>
              <w:numPr>
                <w:ilvl w:val="0"/>
                <w:numId w:val="25"/>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Ensure in-person engagement part of the process. </w:t>
            </w:r>
          </w:p>
          <w:p w14:paraId="3D36930C" w14:textId="77777777" w:rsidR="00C17478" w:rsidRPr="00176EEF" w:rsidRDefault="00C17478" w:rsidP="00C17478">
            <w:pPr>
              <w:numPr>
                <w:ilvl w:val="0"/>
                <w:numId w:val="25"/>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Check printed documents are compatible with screen reader or voice over capability.</w:t>
            </w:r>
          </w:p>
          <w:p w14:paraId="71B40B2C" w14:textId="77777777" w:rsidR="00C17478" w:rsidRPr="00176EEF" w:rsidRDefault="00C17478" w:rsidP="00C17478">
            <w:pPr>
              <w:numPr>
                <w:ilvl w:val="0"/>
                <w:numId w:val="25"/>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Early immersion in community; spend time understanding effective engagement strategies.</w:t>
            </w:r>
          </w:p>
          <w:p w14:paraId="65A0256D" w14:textId="77777777" w:rsidR="00C17478" w:rsidRPr="00176EEF" w:rsidRDefault="00C17478" w:rsidP="00C17478">
            <w:pPr>
              <w:spacing w:before="0" w:after="0" w:line="240" w:lineRule="auto"/>
              <w:rPr>
                <w:rFonts w:ascii="Aptos" w:eastAsia="Times New Roman" w:hAnsi="Aptos" w:cs="Times New Roman"/>
                <w:b/>
                <w:bCs/>
                <w:sz w:val="22"/>
                <w:szCs w:val="22"/>
              </w:rPr>
            </w:pPr>
            <w:r w:rsidRPr="00176EEF">
              <w:rPr>
                <w:rFonts w:ascii="Aptos" w:eastAsia="Times New Roman" w:hAnsi="Aptos" w:cs="Arial"/>
                <w:b/>
                <w:bCs/>
                <w:color w:val="000000"/>
                <w:sz w:val="22"/>
                <w:szCs w:val="22"/>
              </w:rPr>
              <w:t>Contextual factors:</w:t>
            </w:r>
          </w:p>
          <w:p w14:paraId="4BC8BB56" w14:textId="77777777" w:rsidR="00C17478" w:rsidRPr="00176EEF" w:rsidRDefault="00C17478" w:rsidP="00C17478">
            <w:pPr>
              <w:numPr>
                <w:ilvl w:val="0"/>
                <w:numId w:val="26"/>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Researcher attitudes.</w:t>
            </w:r>
          </w:p>
          <w:p w14:paraId="6EC7ABEE" w14:textId="77777777" w:rsidR="00C17478" w:rsidRPr="00176EEF" w:rsidRDefault="00C17478" w:rsidP="00C17478">
            <w:pPr>
              <w:numPr>
                <w:ilvl w:val="0"/>
                <w:numId w:val="26"/>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Site infrastructure.</w:t>
            </w:r>
          </w:p>
          <w:p w14:paraId="61D21B20" w14:textId="6FCB47A7" w:rsidR="00EE4FAE" w:rsidRPr="00176EEF" w:rsidRDefault="00C17478" w:rsidP="00142F0A">
            <w:pPr>
              <w:numPr>
                <w:ilvl w:val="0"/>
                <w:numId w:val="26"/>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Leadership engagement.</w:t>
            </w:r>
          </w:p>
        </w:tc>
        <w:tc>
          <w:tcPr>
            <w:tcW w:w="3437" w:type="dxa"/>
          </w:tcPr>
          <w:p w14:paraId="720E0E57" w14:textId="77777777" w:rsidR="00C17478" w:rsidRPr="00176EEF" w:rsidRDefault="00C17478" w:rsidP="00C17478">
            <w:pPr>
              <w:numPr>
                <w:ilvl w:val="0"/>
                <w:numId w:val="27"/>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Increase knowledge and skills: researcher training and education.</w:t>
            </w:r>
          </w:p>
          <w:p w14:paraId="20491AB7" w14:textId="77777777" w:rsidR="00C17478" w:rsidRPr="00176EEF" w:rsidRDefault="00C17478" w:rsidP="00C17478">
            <w:pPr>
              <w:numPr>
                <w:ilvl w:val="0"/>
                <w:numId w:val="27"/>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Modifying attitudes and beliefs: regular performance feedback; stakeholder engagement.</w:t>
            </w:r>
          </w:p>
          <w:p w14:paraId="2F92A2BE" w14:textId="77777777" w:rsidR="00C17478" w:rsidRPr="00176EEF" w:rsidRDefault="00C17478" w:rsidP="00C17478">
            <w:pPr>
              <w:numPr>
                <w:ilvl w:val="0"/>
                <w:numId w:val="27"/>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Enhance organisational capacity: build partnerships; resource allocation; policy and procedure development.</w:t>
            </w:r>
          </w:p>
          <w:p w14:paraId="54678A0B" w14:textId="77777777" w:rsidR="00EE4FAE" w:rsidRPr="00176EEF" w:rsidRDefault="00EE4FAE" w:rsidP="00142F0A">
            <w:pPr>
              <w:pStyle w:val="Heading2"/>
              <w:rPr>
                <w:rFonts w:ascii="Aptos" w:hAnsi="Aptos"/>
                <w:sz w:val="22"/>
                <w:szCs w:val="22"/>
              </w:rPr>
            </w:pPr>
          </w:p>
        </w:tc>
        <w:tc>
          <w:tcPr>
            <w:tcW w:w="3438" w:type="dxa"/>
          </w:tcPr>
          <w:p w14:paraId="1BA01BDD" w14:textId="77777777" w:rsidR="002C38D2" w:rsidRPr="00176EEF" w:rsidRDefault="002C38D2" w:rsidP="002C38D2">
            <w:pPr>
              <w:spacing w:before="0" w:after="0" w:line="240" w:lineRule="auto"/>
              <w:rPr>
                <w:rFonts w:ascii="Aptos" w:eastAsia="Times New Roman" w:hAnsi="Aptos" w:cs="Times New Roman"/>
                <w:b/>
                <w:bCs/>
                <w:sz w:val="22"/>
                <w:szCs w:val="22"/>
              </w:rPr>
            </w:pPr>
            <w:r w:rsidRPr="00176EEF">
              <w:rPr>
                <w:rFonts w:ascii="Aptos" w:eastAsia="Times New Roman" w:hAnsi="Aptos" w:cs="Arial"/>
                <w:b/>
                <w:bCs/>
                <w:color w:val="000000"/>
                <w:sz w:val="22"/>
                <w:szCs w:val="22"/>
              </w:rPr>
              <w:t>Implementation:</w:t>
            </w:r>
          </w:p>
          <w:p w14:paraId="6859A5A1" w14:textId="68617467" w:rsidR="002C38D2" w:rsidRPr="00176EEF" w:rsidRDefault="002C38D2" w:rsidP="002C38D2">
            <w:pPr>
              <w:numPr>
                <w:ilvl w:val="0"/>
                <w:numId w:val="28"/>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Increased acceptability</w:t>
            </w:r>
            <w:r w:rsidR="00B96FE1" w:rsidRPr="00176EEF">
              <w:rPr>
                <w:rFonts w:ascii="Aptos" w:eastAsia="Times New Roman" w:hAnsi="Aptos" w:cs="Arial"/>
                <w:color w:val="000000"/>
                <w:sz w:val="22"/>
                <w:szCs w:val="22"/>
              </w:rPr>
              <w:t>.</w:t>
            </w:r>
          </w:p>
          <w:p w14:paraId="5234021B" w14:textId="29799B87" w:rsidR="002C38D2" w:rsidRPr="00176EEF" w:rsidRDefault="002C38D2" w:rsidP="002C38D2">
            <w:pPr>
              <w:numPr>
                <w:ilvl w:val="0"/>
                <w:numId w:val="28"/>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Increased adoption</w:t>
            </w:r>
            <w:r w:rsidR="00B96FE1" w:rsidRPr="00176EEF">
              <w:rPr>
                <w:rFonts w:ascii="Aptos" w:eastAsia="Times New Roman" w:hAnsi="Aptos" w:cs="Arial"/>
                <w:color w:val="000000"/>
                <w:sz w:val="22"/>
                <w:szCs w:val="22"/>
              </w:rPr>
              <w:t>.</w:t>
            </w:r>
          </w:p>
          <w:p w14:paraId="30419FE0" w14:textId="7A87ED8F" w:rsidR="002C38D2" w:rsidRPr="00176EEF" w:rsidRDefault="002C38D2" w:rsidP="002C38D2">
            <w:pPr>
              <w:numPr>
                <w:ilvl w:val="0"/>
                <w:numId w:val="28"/>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Increased appropriateness</w:t>
            </w:r>
            <w:r w:rsidR="00B96FE1" w:rsidRPr="00176EEF">
              <w:rPr>
                <w:rFonts w:ascii="Aptos" w:eastAsia="Times New Roman" w:hAnsi="Aptos" w:cs="Arial"/>
                <w:color w:val="000000"/>
                <w:sz w:val="22"/>
                <w:szCs w:val="22"/>
              </w:rPr>
              <w:t>.</w:t>
            </w:r>
          </w:p>
          <w:p w14:paraId="609F1496" w14:textId="78AAEDB9" w:rsidR="002C38D2" w:rsidRPr="00176EEF" w:rsidRDefault="002C38D2" w:rsidP="002C38D2">
            <w:pPr>
              <w:numPr>
                <w:ilvl w:val="0"/>
                <w:numId w:val="28"/>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Feasibility</w:t>
            </w:r>
            <w:r w:rsidR="00B96FE1" w:rsidRPr="00176EEF">
              <w:rPr>
                <w:rFonts w:ascii="Aptos" w:eastAsia="Times New Roman" w:hAnsi="Aptos" w:cs="Arial"/>
                <w:color w:val="000000"/>
                <w:sz w:val="22"/>
                <w:szCs w:val="22"/>
              </w:rPr>
              <w:t>.</w:t>
            </w:r>
          </w:p>
          <w:p w14:paraId="51E5B1E2" w14:textId="284BDF8F" w:rsidR="002C38D2" w:rsidRPr="00176EEF" w:rsidRDefault="002C38D2" w:rsidP="002C38D2">
            <w:pPr>
              <w:numPr>
                <w:ilvl w:val="0"/>
                <w:numId w:val="28"/>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Penetration</w:t>
            </w:r>
            <w:r w:rsidR="00B96FE1" w:rsidRPr="00176EEF">
              <w:rPr>
                <w:rFonts w:ascii="Aptos" w:eastAsia="Times New Roman" w:hAnsi="Aptos" w:cs="Arial"/>
                <w:color w:val="000000"/>
                <w:sz w:val="22"/>
                <w:szCs w:val="22"/>
              </w:rPr>
              <w:t>.</w:t>
            </w:r>
          </w:p>
          <w:p w14:paraId="4B16B986" w14:textId="77777777" w:rsidR="002C38D2" w:rsidRPr="00176EEF" w:rsidRDefault="002C38D2" w:rsidP="002C38D2">
            <w:pPr>
              <w:spacing w:before="0" w:after="0" w:line="240" w:lineRule="auto"/>
              <w:rPr>
                <w:rFonts w:ascii="Aptos" w:eastAsia="Times New Roman" w:hAnsi="Aptos" w:cs="Times New Roman"/>
                <w:b/>
                <w:bCs/>
                <w:sz w:val="22"/>
                <w:szCs w:val="22"/>
              </w:rPr>
            </w:pPr>
            <w:r w:rsidRPr="00176EEF">
              <w:rPr>
                <w:rFonts w:ascii="Aptos" w:eastAsia="Times New Roman" w:hAnsi="Aptos" w:cs="Arial"/>
                <w:b/>
                <w:bCs/>
                <w:color w:val="000000"/>
                <w:sz w:val="22"/>
                <w:szCs w:val="22"/>
              </w:rPr>
              <w:t>Service:</w:t>
            </w:r>
          </w:p>
          <w:p w14:paraId="41D81E6C" w14:textId="77777777" w:rsidR="002C38D2" w:rsidRPr="00176EEF" w:rsidRDefault="002C38D2" w:rsidP="002C38D2">
            <w:pPr>
              <w:numPr>
                <w:ilvl w:val="0"/>
                <w:numId w:val="29"/>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Participant-centredness.</w:t>
            </w:r>
          </w:p>
          <w:p w14:paraId="1B13FFC9" w14:textId="77777777" w:rsidR="002C38D2" w:rsidRPr="00176EEF" w:rsidRDefault="002C38D2" w:rsidP="002C38D2">
            <w:pPr>
              <w:numPr>
                <w:ilvl w:val="0"/>
                <w:numId w:val="29"/>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More diversity in research.</w:t>
            </w:r>
          </w:p>
          <w:p w14:paraId="694880BB" w14:textId="77777777" w:rsidR="002C38D2" w:rsidRPr="00176EEF" w:rsidRDefault="002C38D2" w:rsidP="002C38D2">
            <w:pPr>
              <w:numPr>
                <w:ilvl w:val="0"/>
                <w:numId w:val="29"/>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Participant Retention.</w:t>
            </w:r>
          </w:p>
          <w:p w14:paraId="1D7F876A" w14:textId="77777777" w:rsidR="002C38D2" w:rsidRPr="00176EEF" w:rsidRDefault="002C38D2" w:rsidP="002C38D2">
            <w:pPr>
              <w:numPr>
                <w:ilvl w:val="0"/>
                <w:numId w:val="29"/>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Increased adherence to practice guidelines.</w:t>
            </w:r>
          </w:p>
          <w:p w14:paraId="407A9C30" w14:textId="77777777" w:rsidR="002C38D2" w:rsidRPr="00176EEF" w:rsidRDefault="002C38D2" w:rsidP="002C38D2">
            <w:pPr>
              <w:numPr>
                <w:ilvl w:val="0"/>
                <w:numId w:val="29"/>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Equity.</w:t>
            </w:r>
          </w:p>
          <w:p w14:paraId="1D48EB82" w14:textId="77777777" w:rsidR="002C38D2" w:rsidRPr="00176EEF" w:rsidRDefault="002C38D2" w:rsidP="002C38D2">
            <w:pPr>
              <w:spacing w:before="0" w:after="0" w:line="240" w:lineRule="auto"/>
              <w:rPr>
                <w:rFonts w:ascii="Aptos" w:eastAsia="Times New Roman" w:hAnsi="Aptos" w:cs="Times New Roman"/>
                <w:b/>
                <w:bCs/>
                <w:sz w:val="22"/>
                <w:szCs w:val="22"/>
              </w:rPr>
            </w:pPr>
            <w:r w:rsidRPr="00176EEF">
              <w:rPr>
                <w:rFonts w:ascii="Aptos" w:eastAsia="Times New Roman" w:hAnsi="Aptos" w:cs="Arial"/>
                <w:b/>
                <w:bCs/>
                <w:color w:val="000000"/>
                <w:sz w:val="22"/>
                <w:szCs w:val="22"/>
              </w:rPr>
              <w:t>Researcher:</w:t>
            </w:r>
          </w:p>
          <w:p w14:paraId="117F992B" w14:textId="77777777" w:rsidR="002C38D2" w:rsidRPr="00176EEF" w:rsidRDefault="002C38D2" w:rsidP="002C38D2">
            <w:pPr>
              <w:numPr>
                <w:ilvl w:val="0"/>
                <w:numId w:val="30"/>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Build capability.</w:t>
            </w:r>
          </w:p>
          <w:p w14:paraId="6723D046" w14:textId="77777777" w:rsidR="002C38D2" w:rsidRPr="00176EEF" w:rsidRDefault="002C38D2" w:rsidP="002C38D2">
            <w:pPr>
              <w:numPr>
                <w:ilvl w:val="0"/>
                <w:numId w:val="30"/>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Increased knowledge.</w:t>
            </w:r>
          </w:p>
          <w:p w14:paraId="63F9FC79" w14:textId="77777777" w:rsidR="002C38D2" w:rsidRPr="00176EEF" w:rsidRDefault="002C38D2" w:rsidP="002C38D2">
            <w:pPr>
              <w:numPr>
                <w:ilvl w:val="0"/>
                <w:numId w:val="30"/>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Confidence in tailoring communications for consent practices.</w:t>
            </w:r>
          </w:p>
          <w:p w14:paraId="08578F25" w14:textId="77777777" w:rsidR="002C38D2" w:rsidRPr="00176EEF" w:rsidRDefault="002C38D2" w:rsidP="002C38D2">
            <w:pPr>
              <w:numPr>
                <w:ilvl w:val="0"/>
                <w:numId w:val="30"/>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Increased satisfaction.</w:t>
            </w:r>
          </w:p>
          <w:p w14:paraId="6A508404" w14:textId="77777777" w:rsidR="002C38D2" w:rsidRPr="00176EEF" w:rsidRDefault="002C38D2" w:rsidP="002C38D2">
            <w:pPr>
              <w:spacing w:before="0" w:after="0" w:line="240" w:lineRule="auto"/>
              <w:rPr>
                <w:rFonts w:ascii="Aptos" w:eastAsia="Times New Roman" w:hAnsi="Aptos" w:cs="Times New Roman"/>
                <w:b/>
                <w:bCs/>
                <w:sz w:val="22"/>
                <w:szCs w:val="22"/>
              </w:rPr>
            </w:pPr>
            <w:r w:rsidRPr="00176EEF">
              <w:rPr>
                <w:rFonts w:ascii="Aptos" w:eastAsia="Times New Roman" w:hAnsi="Aptos" w:cs="Arial"/>
                <w:b/>
                <w:bCs/>
                <w:color w:val="000000"/>
                <w:sz w:val="22"/>
                <w:szCs w:val="22"/>
              </w:rPr>
              <w:t>Research Participant:</w:t>
            </w:r>
          </w:p>
          <w:p w14:paraId="2DE58E2E" w14:textId="77777777" w:rsidR="002C38D2" w:rsidRPr="00176EEF" w:rsidRDefault="002C38D2" w:rsidP="002C38D2">
            <w:pPr>
              <w:numPr>
                <w:ilvl w:val="0"/>
                <w:numId w:val="31"/>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Empowerment and agency.</w:t>
            </w:r>
          </w:p>
          <w:p w14:paraId="5A8C56CC" w14:textId="77777777" w:rsidR="002C38D2" w:rsidRPr="00176EEF" w:rsidRDefault="002C38D2" w:rsidP="002C38D2">
            <w:pPr>
              <w:numPr>
                <w:ilvl w:val="0"/>
                <w:numId w:val="31"/>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Trust in process and people.</w:t>
            </w:r>
          </w:p>
          <w:p w14:paraId="54EAB304" w14:textId="77777777" w:rsidR="002C38D2" w:rsidRPr="00176EEF" w:rsidRDefault="002C38D2" w:rsidP="002C38D2">
            <w:pPr>
              <w:numPr>
                <w:ilvl w:val="0"/>
                <w:numId w:val="31"/>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Understanding.</w:t>
            </w:r>
          </w:p>
          <w:p w14:paraId="4AE2714D" w14:textId="77777777" w:rsidR="002C38D2" w:rsidRPr="00176EEF" w:rsidRDefault="002C38D2" w:rsidP="002C38D2">
            <w:pPr>
              <w:numPr>
                <w:ilvl w:val="0"/>
                <w:numId w:val="31"/>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Greater willingness to participate in research.</w:t>
            </w:r>
          </w:p>
          <w:p w14:paraId="6C21706F" w14:textId="77777777" w:rsidR="002C38D2" w:rsidRPr="00176EEF" w:rsidRDefault="002C38D2" w:rsidP="002C38D2">
            <w:pPr>
              <w:numPr>
                <w:ilvl w:val="0"/>
                <w:numId w:val="31"/>
              </w:numPr>
              <w:spacing w:before="0" w:after="0" w:line="240" w:lineRule="auto"/>
              <w:ind w:left="573"/>
              <w:textAlignment w:val="baseline"/>
              <w:rPr>
                <w:rFonts w:ascii="Aptos" w:eastAsia="Times New Roman" w:hAnsi="Aptos" w:cs="Arial"/>
                <w:color w:val="000000"/>
                <w:sz w:val="22"/>
                <w:szCs w:val="22"/>
              </w:rPr>
            </w:pPr>
            <w:r w:rsidRPr="00176EEF">
              <w:rPr>
                <w:rFonts w:ascii="Aptos" w:eastAsia="Times New Roman" w:hAnsi="Aptos" w:cs="Arial"/>
                <w:color w:val="000000"/>
                <w:sz w:val="22"/>
                <w:szCs w:val="22"/>
              </w:rPr>
              <w:t>Increased satisfaction.</w:t>
            </w:r>
          </w:p>
          <w:p w14:paraId="2327A5A9" w14:textId="77777777" w:rsidR="00EE4FAE" w:rsidRPr="00176EEF" w:rsidRDefault="00EE4FAE" w:rsidP="00142F0A">
            <w:pPr>
              <w:pStyle w:val="Heading2"/>
              <w:rPr>
                <w:rFonts w:ascii="Aptos" w:hAnsi="Aptos"/>
                <w:sz w:val="22"/>
                <w:szCs w:val="22"/>
              </w:rPr>
            </w:pPr>
          </w:p>
        </w:tc>
      </w:tr>
    </w:tbl>
    <w:p w14:paraId="009C5A10" w14:textId="541A0030" w:rsidR="00872061" w:rsidRPr="00FB0286" w:rsidRDefault="00203F50" w:rsidP="00FB0286">
      <w:pPr>
        <w:rPr>
          <w:sz w:val="22"/>
          <w:szCs w:val="22"/>
        </w:rPr>
      </w:pPr>
      <w:r w:rsidRPr="00FB0286">
        <w:rPr>
          <w:sz w:val="22"/>
          <w:szCs w:val="22"/>
        </w:rPr>
        <w:t>Footnote: PICF, Participant Information and Consent Form. The logic model follows a sequence from determinants to implementation strategies, mechanisms, and outcomes. Outcomes are described as predicted, as they represent expected effects of the implementation strategies and mechanisms based on synthesis of findings across studies, rather than outcomes directly measured in individual studi</w:t>
      </w:r>
      <w:r w:rsidR="00FB0286" w:rsidRPr="00FB0286">
        <w:rPr>
          <w:sz w:val="22"/>
          <w:szCs w:val="22"/>
        </w:rPr>
        <w:t>es</w:t>
      </w:r>
      <w:r w:rsidRPr="00FB0286">
        <w:rPr>
          <w:sz w:val="22"/>
          <w:szCs w:val="22"/>
        </w:rPr>
        <w:t>.</w:t>
      </w:r>
    </w:p>
    <w:sectPr w:rsidR="00872061" w:rsidRPr="00FB0286" w:rsidSect="005F6CED">
      <w:pgSz w:w="15840" w:h="12240" w:orient="landscape"/>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A8C82" w14:textId="77777777" w:rsidR="00157639" w:rsidRPr="00176EEF" w:rsidRDefault="00157639" w:rsidP="00721D59">
      <w:pPr>
        <w:spacing w:before="0" w:after="0" w:line="240" w:lineRule="auto"/>
      </w:pPr>
      <w:r w:rsidRPr="00176EEF">
        <w:separator/>
      </w:r>
    </w:p>
  </w:endnote>
  <w:endnote w:type="continuationSeparator" w:id="0">
    <w:p w14:paraId="0E237078" w14:textId="77777777" w:rsidR="00157639" w:rsidRPr="00176EEF" w:rsidRDefault="00157639" w:rsidP="00721D59">
      <w:pPr>
        <w:spacing w:before="0" w:after="0" w:line="240" w:lineRule="auto"/>
      </w:pPr>
      <w:r w:rsidRPr="00176E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1741449"/>
      <w:docPartObj>
        <w:docPartGallery w:val="Page Numbers (Bottom of Page)"/>
        <w:docPartUnique/>
      </w:docPartObj>
    </w:sdtPr>
    <w:sdtEndPr>
      <w:rPr>
        <w:color w:val="7F7F7F" w:themeColor="background1" w:themeShade="7F"/>
        <w:spacing w:val="60"/>
      </w:rPr>
    </w:sdtEndPr>
    <w:sdtContent>
      <w:p w14:paraId="08F8F50A" w14:textId="049CA8A3" w:rsidR="00721D59" w:rsidRPr="00176EEF" w:rsidRDefault="00721D59">
        <w:pPr>
          <w:pStyle w:val="Footer"/>
          <w:pBdr>
            <w:top w:val="single" w:sz="4" w:space="1" w:color="D9D9D9" w:themeColor="background1" w:themeShade="D9"/>
          </w:pBdr>
          <w:rPr>
            <w:b/>
            <w:bCs/>
          </w:rPr>
        </w:pPr>
        <w:r w:rsidRPr="00435B10">
          <w:fldChar w:fldCharType="begin"/>
        </w:r>
        <w:r w:rsidRPr="00176EEF">
          <w:instrText xml:space="preserve"> PAGE   \* MERGEFORMAT </w:instrText>
        </w:r>
        <w:r w:rsidRPr="00435B10">
          <w:fldChar w:fldCharType="separate"/>
        </w:r>
        <w:r w:rsidRPr="00435B10">
          <w:rPr>
            <w:b/>
            <w:bCs/>
          </w:rPr>
          <w:t>2</w:t>
        </w:r>
        <w:r w:rsidRPr="00435B10">
          <w:rPr>
            <w:b/>
            <w:bCs/>
          </w:rPr>
          <w:fldChar w:fldCharType="end"/>
        </w:r>
        <w:r w:rsidRPr="00176EEF">
          <w:rPr>
            <w:b/>
            <w:bCs/>
          </w:rPr>
          <w:t xml:space="preserve"> | </w:t>
        </w:r>
        <w:r w:rsidRPr="00176EEF">
          <w:rPr>
            <w:color w:val="7F7F7F" w:themeColor="background1" w:themeShade="7F"/>
            <w:spacing w:val="60"/>
          </w:rPr>
          <w:t>Page</w:t>
        </w:r>
      </w:p>
    </w:sdtContent>
  </w:sdt>
  <w:p w14:paraId="76E855C8" w14:textId="77777777" w:rsidR="00721D59" w:rsidRPr="00176EEF" w:rsidRDefault="00721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FF423" w14:textId="77777777" w:rsidR="00157639" w:rsidRPr="00176EEF" w:rsidRDefault="00157639" w:rsidP="00721D59">
      <w:pPr>
        <w:spacing w:before="0" w:after="0" w:line="240" w:lineRule="auto"/>
      </w:pPr>
      <w:r w:rsidRPr="00176EEF">
        <w:separator/>
      </w:r>
    </w:p>
  </w:footnote>
  <w:footnote w:type="continuationSeparator" w:id="0">
    <w:p w14:paraId="24AF96EC" w14:textId="77777777" w:rsidR="00157639" w:rsidRPr="00176EEF" w:rsidRDefault="00157639" w:rsidP="00721D59">
      <w:pPr>
        <w:spacing w:before="0" w:after="0" w:line="240" w:lineRule="auto"/>
      </w:pPr>
      <w:r w:rsidRPr="00176EEF">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1751"/>
    <w:multiLevelType w:val="hybridMultilevel"/>
    <w:tmpl w:val="6DCCC1C8"/>
    <w:lvl w:ilvl="0" w:tplc="C92E9454">
      <w:start w:val="1"/>
      <w:numFmt w:val="bullet"/>
      <w:lvlText w:val=""/>
      <w:lvlJc w:val="left"/>
      <w:pPr>
        <w:ind w:left="1080" w:hanging="360"/>
      </w:pPr>
      <w:rPr>
        <w:rFonts w:ascii="Symbol" w:hAnsi="Symbol"/>
      </w:rPr>
    </w:lvl>
    <w:lvl w:ilvl="1" w:tplc="B220047A">
      <w:start w:val="1"/>
      <w:numFmt w:val="bullet"/>
      <w:lvlText w:val=""/>
      <w:lvlJc w:val="left"/>
      <w:pPr>
        <w:ind w:left="1440" w:hanging="360"/>
      </w:pPr>
      <w:rPr>
        <w:rFonts w:ascii="Symbol" w:hAnsi="Symbol"/>
      </w:rPr>
    </w:lvl>
    <w:lvl w:ilvl="2" w:tplc="1BA04332">
      <w:start w:val="1"/>
      <w:numFmt w:val="bullet"/>
      <w:lvlText w:val=""/>
      <w:lvlJc w:val="left"/>
      <w:pPr>
        <w:ind w:left="1080" w:hanging="360"/>
      </w:pPr>
      <w:rPr>
        <w:rFonts w:ascii="Symbol" w:hAnsi="Symbol"/>
      </w:rPr>
    </w:lvl>
    <w:lvl w:ilvl="3" w:tplc="6284F73C">
      <w:start w:val="1"/>
      <w:numFmt w:val="bullet"/>
      <w:lvlText w:val=""/>
      <w:lvlJc w:val="left"/>
      <w:pPr>
        <w:ind w:left="1080" w:hanging="360"/>
      </w:pPr>
      <w:rPr>
        <w:rFonts w:ascii="Symbol" w:hAnsi="Symbol"/>
      </w:rPr>
    </w:lvl>
    <w:lvl w:ilvl="4" w:tplc="83084B28">
      <w:start w:val="1"/>
      <w:numFmt w:val="bullet"/>
      <w:lvlText w:val=""/>
      <w:lvlJc w:val="left"/>
      <w:pPr>
        <w:ind w:left="1080" w:hanging="360"/>
      </w:pPr>
      <w:rPr>
        <w:rFonts w:ascii="Symbol" w:hAnsi="Symbol"/>
      </w:rPr>
    </w:lvl>
    <w:lvl w:ilvl="5" w:tplc="9634F100">
      <w:start w:val="1"/>
      <w:numFmt w:val="bullet"/>
      <w:lvlText w:val=""/>
      <w:lvlJc w:val="left"/>
      <w:pPr>
        <w:ind w:left="1080" w:hanging="360"/>
      </w:pPr>
      <w:rPr>
        <w:rFonts w:ascii="Symbol" w:hAnsi="Symbol"/>
      </w:rPr>
    </w:lvl>
    <w:lvl w:ilvl="6" w:tplc="1ADA9B58">
      <w:start w:val="1"/>
      <w:numFmt w:val="bullet"/>
      <w:lvlText w:val=""/>
      <w:lvlJc w:val="left"/>
      <w:pPr>
        <w:ind w:left="1080" w:hanging="360"/>
      </w:pPr>
      <w:rPr>
        <w:rFonts w:ascii="Symbol" w:hAnsi="Symbol"/>
      </w:rPr>
    </w:lvl>
    <w:lvl w:ilvl="7" w:tplc="00D8AA02">
      <w:start w:val="1"/>
      <w:numFmt w:val="bullet"/>
      <w:lvlText w:val=""/>
      <w:lvlJc w:val="left"/>
      <w:pPr>
        <w:ind w:left="1080" w:hanging="360"/>
      </w:pPr>
      <w:rPr>
        <w:rFonts w:ascii="Symbol" w:hAnsi="Symbol"/>
      </w:rPr>
    </w:lvl>
    <w:lvl w:ilvl="8" w:tplc="8444BEE2">
      <w:start w:val="1"/>
      <w:numFmt w:val="bullet"/>
      <w:lvlText w:val=""/>
      <w:lvlJc w:val="left"/>
      <w:pPr>
        <w:ind w:left="1080" w:hanging="360"/>
      </w:pPr>
      <w:rPr>
        <w:rFonts w:ascii="Symbol" w:hAnsi="Symbol"/>
      </w:rPr>
    </w:lvl>
  </w:abstractNum>
  <w:abstractNum w:abstractNumId="1" w15:restartNumberingAfterBreak="0">
    <w:nsid w:val="016E161F"/>
    <w:multiLevelType w:val="multilevel"/>
    <w:tmpl w:val="938E3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D16901"/>
    <w:multiLevelType w:val="multilevel"/>
    <w:tmpl w:val="20F84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CE6DF2"/>
    <w:multiLevelType w:val="hybridMultilevel"/>
    <w:tmpl w:val="595CA7D4"/>
    <w:lvl w:ilvl="0" w:tplc="5F12886A">
      <w:start w:val="1"/>
      <w:numFmt w:val="bullet"/>
      <w:lvlText w:val=""/>
      <w:lvlJc w:val="left"/>
      <w:pPr>
        <w:ind w:left="720" w:hanging="360"/>
      </w:pPr>
      <w:rPr>
        <w:rFonts w:ascii="Symbol" w:hAnsi="Symbol" w:hint="default"/>
        <w:sz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971174"/>
    <w:multiLevelType w:val="hybridMultilevel"/>
    <w:tmpl w:val="82EE6612"/>
    <w:lvl w:ilvl="0" w:tplc="5F12886A">
      <w:start w:val="1"/>
      <w:numFmt w:val="bullet"/>
      <w:lvlText w:val=""/>
      <w:lvlJc w:val="left"/>
      <w:pPr>
        <w:ind w:left="720" w:hanging="360"/>
      </w:pPr>
      <w:rPr>
        <w:rFonts w:ascii="Symbol" w:hAnsi="Symbol" w:hint="default"/>
        <w:sz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A45001"/>
    <w:multiLevelType w:val="hybridMultilevel"/>
    <w:tmpl w:val="FCF4E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0A1CB0"/>
    <w:multiLevelType w:val="multilevel"/>
    <w:tmpl w:val="76E48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F86571"/>
    <w:multiLevelType w:val="multilevel"/>
    <w:tmpl w:val="FC169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2A4B65"/>
    <w:multiLevelType w:val="multilevel"/>
    <w:tmpl w:val="58589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FE1FD7"/>
    <w:multiLevelType w:val="hybridMultilevel"/>
    <w:tmpl w:val="62966BCE"/>
    <w:lvl w:ilvl="0" w:tplc="5F12886A">
      <w:start w:val="1"/>
      <w:numFmt w:val="bullet"/>
      <w:lvlText w:val=""/>
      <w:lvlJc w:val="left"/>
      <w:pPr>
        <w:ind w:left="720" w:hanging="360"/>
      </w:pPr>
      <w:rPr>
        <w:rFonts w:ascii="Symbol" w:hAnsi="Symbol" w:hint="default"/>
        <w:sz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BB3418"/>
    <w:multiLevelType w:val="hybridMultilevel"/>
    <w:tmpl w:val="79D8D66E"/>
    <w:lvl w:ilvl="0" w:tplc="5742E81E">
      <w:numFmt w:val="bullet"/>
      <w:lvlText w:val="•"/>
      <w:lvlJc w:val="left"/>
      <w:pPr>
        <w:ind w:left="1080" w:hanging="72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30138D"/>
    <w:multiLevelType w:val="hybridMultilevel"/>
    <w:tmpl w:val="B08453A8"/>
    <w:lvl w:ilvl="0" w:tplc="9B36F2EC">
      <w:start w:val="1"/>
      <w:numFmt w:val="bullet"/>
      <w:lvlText w:val=""/>
      <w:lvlJc w:val="left"/>
      <w:pPr>
        <w:ind w:left="1080" w:hanging="360"/>
      </w:pPr>
      <w:rPr>
        <w:rFonts w:ascii="Symbol" w:hAnsi="Symbol"/>
      </w:rPr>
    </w:lvl>
    <w:lvl w:ilvl="1" w:tplc="C9F8E086">
      <w:start w:val="1"/>
      <w:numFmt w:val="bullet"/>
      <w:lvlText w:val=""/>
      <w:lvlJc w:val="left"/>
      <w:pPr>
        <w:ind w:left="1440" w:hanging="360"/>
      </w:pPr>
      <w:rPr>
        <w:rFonts w:ascii="Symbol" w:hAnsi="Symbol"/>
      </w:rPr>
    </w:lvl>
    <w:lvl w:ilvl="2" w:tplc="B2120542">
      <w:start w:val="1"/>
      <w:numFmt w:val="bullet"/>
      <w:lvlText w:val=""/>
      <w:lvlJc w:val="left"/>
      <w:pPr>
        <w:ind w:left="1080" w:hanging="360"/>
      </w:pPr>
      <w:rPr>
        <w:rFonts w:ascii="Symbol" w:hAnsi="Symbol"/>
      </w:rPr>
    </w:lvl>
    <w:lvl w:ilvl="3" w:tplc="F7F034B8">
      <w:start w:val="1"/>
      <w:numFmt w:val="bullet"/>
      <w:lvlText w:val=""/>
      <w:lvlJc w:val="left"/>
      <w:pPr>
        <w:ind w:left="1080" w:hanging="360"/>
      </w:pPr>
      <w:rPr>
        <w:rFonts w:ascii="Symbol" w:hAnsi="Symbol"/>
      </w:rPr>
    </w:lvl>
    <w:lvl w:ilvl="4" w:tplc="C270DD0E">
      <w:start w:val="1"/>
      <w:numFmt w:val="bullet"/>
      <w:lvlText w:val=""/>
      <w:lvlJc w:val="left"/>
      <w:pPr>
        <w:ind w:left="1080" w:hanging="360"/>
      </w:pPr>
      <w:rPr>
        <w:rFonts w:ascii="Symbol" w:hAnsi="Symbol"/>
      </w:rPr>
    </w:lvl>
    <w:lvl w:ilvl="5" w:tplc="DCC86912">
      <w:start w:val="1"/>
      <w:numFmt w:val="bullet"/>
      <w:lvlText w:val=""/>
      <w:lvlJc w:val="left"/>
      <w:pPr>
        <w:ind w:left="1080" w:hanging="360"/>
      </w:pPr>
      <w:rPr>
        <w:rFonts w:ascii="Symbol" w:hAnsi="Symbol"/>
      </w:rPr>
    </w:lvl>
    <w:lvl w:ilvl="6" w:tplc="62FCF89E">
      <w:start w:val="1"/>
      <w:numFmt w:val="bullet"/>
      <w:lvlText w:val=""/>
      <w:lvlJc w:val="left"/>
      <w:pPr>
        <w:ind w:left="1080" w:hanging="360"/>
      </w:pPr>
      <w:rPr>
        <w:rFonts w:ascii="Symbol" w:hAnsi="Symbol"/>
      </w:rPr>
    </w:lvl>
    <w:lvl w:ilvl="7" w:tplc="4D7ACE20">
      <w:start w:val="1"/>
      <w:numFmt w:val="bullet"/>
      <w:lvlText w:val=""/>
      <w:lvlJc w:val="left"/>
      <w:pPr>
        <w:ind w:left="1080" w:hanging="360"/>
      </w:pPr>
      <w:rPr>
        <w:rFonts w:ascii="Symbol" w:hAnsi="Symbol"/>
      </w:rPr>
    </w:lvl>
    <w:lvl w:ilvl="8" w:tplc="27CE63A4">
      <w:start w:val="1"/>
      <w:numFmt w:val="bullet"/>
      <w:lvlText w:val=""/>
      <w:lvlJc w:val="left"/>
      <w:pPr>
        <w:ind w:left="1080" w:hanging="360"/>
      </w:pPr>
      <w:rPr>
        <w:rFonts w:ascii="Symbol" w:hAnsi="Symbol"/>
      </w:rPr>
    </w:lvl>
  </w:abstractNum>
  <w:abstractNum w:abstractNumId="12" w15:restartNumberingAfterBreak="0">
    <w:nsid w:val="225F4F33"/>
    <w:multiLevelType w:val="hybridMultilevel"/>
    <w:tmpl w:val="59685A22"/>
    <w:lvl w:ilvl="0" w:tplc="5F12886A">
      <w:start w:val="1"/>
      <w:numFmt w:val="bullet"/>
      <w:lvlText w:val=""/>
      <w:lvlJc w:val="left"/>
      <w:pPr>
        <w:ind w:left="720" w:hanging="360"/>
      </w:pPr>
      <w:rPr>
        <w:rFonts w:ascii="Symbol" w:hAnsi="Symbol" w:hint="default"/>
        <w:sz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1C1217"/>
    <w:multiLevelType w:val="multilevel"/>
    <w:tmpl w:val="70143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0C6B1D"/>
    <w:multiLevelType w:val="hybridMultilevel"/>
    <w:tmpl w:val="EF9E24CA"/>
    <w:lvl w:ilvl="0" w:tplc="D73CCB6A">
      <w:start w:val="1"/>
      <w:numFmt w:val="bullet"/>
      <w:lvlText w:val=""/>
      <w:lvlJc w:val="left"/>
      <w:pPr>
        <w:ind w:left="1080" w:hanging="360"/>
      </w:pPr>
      <w:rPr>
        <w:rFonts w:ascii="Symbol" w:hAnsi="Symbol"/>
      </w:rPr>
    </w:lvl>
    <w:lvl w:ilvl="1" w:tplc="3918DAAA">
      <w:start w:val="1"/>
      <w:numFmt w:val="bullet"/>
      <w:lvlText w:val=""/>
      <w:lvlJc w:val="left"/>
      <w:pPr>
        <w:ind w:left="1080" w:hanging="360"/>
      </w:pPr>
      <w:rPr>
        <w:rFonts w:ascii="Symbol" w:hAnsi="Symbol"/>
      </w:rPr>
    </w:lvl>
    <w:lvl w:ilvl="2" w:tplc="3D2052AE">
      <w:start w:val="1"/>
      <w:numFmt w:val="bullet"/>
      <w:lvlText w:val=""/>
      <w:lvlJc w:val="left"/>
      <w:pPr>
        <w:ind w:left="1080" w:hanging="360"/>
      </w:pPr>
      <w:rPr>
        <w:rFonts w:ascii="Symbol" w:hAnsi="Symbol"/>
      </w:rPr>
    </w:lvl>
    <w:lvl w:ilvl="3" w:tplc="575CEE4A">
      <w:start w:val="1"/>
      <w:numFmt w:val="bullet"/>
      <w:lvlText w:val=""/>
      <w:lvlJc w:val="left"/>
      <w:pPr>
        <w:ind w:left="1080" w:hanging="360"/>
      </w:pPr>
      <w:rPr>
        <w:rFonts w:ascii="Symbol" w:hAnsi="Symbol"/>
      </w:rPr>
    </w:lvl>
    <w:lvl w:ilvl="4" w:tplc="44306EBC">
      <w:start w:val="1"/>
      <w:numFmt w:val="bullet"/>
      <w:lvlText w:val=""/>
      <w:lvlJc w:val="left"/>
      <w:pPr>
        <w:ind w:left="1080" w:hanging="360"/>
      </w:pPr>
      <w:rPr>
        <w:rFonts w:ascii="Symbol" w:hAnsi="Symbol"/>
      </w:rPr>
    </w:lvl>
    <w:lvl w:ilvl="5" w:tplc="C0726398">
      <w:start w:val="1"/>
      <w:numFmt w:val="bullet"/>
      <w:lvlText w:val=""/>
      <w:lvlJc w:val="left"/>
      <w:pPr>
        <w:ind w:left="1080" w:hanging="360"/>
      </w:pPr>
      <w:rPr>
        <w:rFonts w:ascii="Symbol" w:hAnsi="Symbol"/>
      </w:rPr>
    </w:lvl>
    <w:lvl w:ilvl="6" w:tplc="16E82F20">
      <w:start w:val="1"/>
      <w:numFmt w:val="bullet"/>
      <w:lvlText w:val=""/>
      <w:lvlJc w:val="left"/>
      <w:pPr>
        <w:ind w:left="1080" w:hanging="360"/>
      </w:pPr>
      <w:rPr>
        <w:rFonts w:ascii="Symbol" w:hAnsi="Symbol"/>
      </w:rPr>
    </w:lvl>
    <w:lvl w:ilvl="7" w:tplc="5030AF3C">
      <w:start w:val="1"/>
      <w:numFmt w:val="bullet"/>
      <w:lvlText w:val=""/>
      <w:lvlJc w:val="left"/>
      <w:pPr>
        <w:ind w:left="1080" w:hanging="360"/>
      </w:pPr>
      <w:rPr>
        <w:rFonts w:ascii="Symbol" w:hAnsi="Symbol"/>
      </w:rPr>
    </w:lvl>
    <w:lvl w:ilvl="8" w:tplc="0E98439A">
      <w:start w:val="1"/>
      <w:numFmt w:val="bullet"/>
      <w:lvlText w:val=""/>
      <w:lvlJc w:val="left"/>
      <w:pPr>
        <w:ind w:left="1080" w:hanging="360"/>
      </w:pPr>
      <w:rPr>
        <w:rFonts w:ascii="Symbol" w:hAnsi="Symbol"/>
      </w:rPr>
    </w:lvl>
  </w:abstractNum>
  <w:abstractNum w:abstractNumId="15" w15:restartNumberingAfterBreak="0">
    <w:nsid w:val="31A662BE"/>
    <w:multiLevelType w:val="hybridMultilevel"/>
    <w:tmpl w:val="C31C9A64"/>
    <w:lvl w:ilvl="0" w:tplc="5F12886A">
      <w:start w:val="1"/>
      <w:numFmt w:val="bullet"/>
      <w:lvlText w:val=""/>
      <w:lvlJc w:val="left"/>
      <w:pPr>
        <w:ind w:left="1080" w:hanging="720"/>
      </w:pPr>
      <w:rPr>
        <w:rFonts w:ascii="Symbol" w:hAnsi="Symbol" w:hint="default"/>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2D316C9"/>
    <w:multiLevelType w:val="multilevel"/>
    <w:tmpl w:val="975C4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0C1933"/>
    <w:multiLevelType w:val="multilevel"/>
    <w:tmpl w:val="C58AF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241A17"/>
    <w:multiLevelType w:val="hybridMultilevel"/>
    <w:tmpl w:val="10001F2E"/>
    <w:lvl w:ilvl="0" w:tplc="82F0BA58">
      <w:start w:val="1"/>
      <w:numFmt w:val="bullet"/>
      <w:lvlText w:val=""/>
      <w:lvlJc w:val="left"/>
      <w:pPr>
        <w:ind w:left="1080" w:hanging="360"/>
      </w:pPr>
      <w:rPr>
        <w:rFonts w:ascii="Symbol" w:hAnsi="Symbol"/>
      </w:rPr>
    </w:lvl>
    <w:lvl w:ilvl="1" w:tplc="53568D54">
      <w:start w:val="1"/>
      <w:numFmt w:val="bullet"/>
      <w:lvlText w:val=""/>
      <w:lvlJc w:val="left"/>
      <w:pPr>
        <w:ind w:left="1080" w:hanging="360"/>
      </w:pPr>
      <w:rPr>
        <w:rFonts w:ascii="Symbol" w:hAnsi="Symbol"/>
      </w:rPr>
    </w:lvl>
    <w:lvl w:ilvl="2" w:tplc="4CDE2DEE">
      <w:start w:val="1"/>
      <w:numFmt w:val="bullet"/>
      <w:lvlText w:val=""/>
      <w:lvlJc w:val="left"/>
      <w:pPr>
        <w:ind w:left="1080" w:hanging="360"/>
      </w:pPr>
      <w:rPr>
        <w:rFonts w:ascii="Symbol" w:hAnsi="Symbol"/>
      </w:rPr>
    </w:lvl>
    <w:lvl w:ilvl="3" w:tplc="7DC44EE4">
      <w:start w:val="1"/>
      <w:numFmt w:val="bullet"/>
      <w:lvlText w:val=""/>
      <w:lvlJc w:val="left"/>
      <w:pPr>
        <w:ind w:left="1080" w:hanging="360"/>
      </w:pPr>
      <w:rPr>
        <w:rFonts w:ascii="Symbol" w:hAnsi="Symbol"/>
      </w:rPr>
    </w:lvl>
    <w:lvl w:ilvl="4" w:tplc="DC3430B4">
      <w:start w:val="1"/>
      <w:numFmt w:val="bullet"/>
      <w:lvlText w:val=""/>
      <w:lvlJc w:val="left"/>
      <w:pPr>
        <w:ind w:left="1080" w:hanging="360"/>
      </w:pPr>
      <w:rPr>
        <w:rFonts w:ascii="Symbol" w:hAnsi="Symbol"/>
      </w:rPr>
    </w:lvl>
    <w:lvl w:ilvl="5" w:tplc="D854C1E6">
      <w:start w:val="1"/>
      <w:numFmt w:val="bullet"/>
      <w:lvlText w:val=""/>
      <w:lvlJc w:val="left"/>
      <w:pPr>
        <w:ind w:left="1080" w:hanging="360"/>
      </w:pPr>
      <w:rPr>
        <w:rFonts w:ascii="Symbol" w:hAnsi="Symbol"/>
      </w:rPr>
    </w:lvl>
    <w:lvl w:ilvl="6" w:tplc="2512B15E">
      <w:start w:val="1"/>
      <w:numFmt w:val="bullet"/>
      <w:lvlText w:val=""/>
      <w:lvlJc w:val="left"/>
      <w:pPr>
        <w:ind w:left="1080" w:hanging="360"/>
      </w:pPr>
      <w:rPr>
        <w:rFonts w:ascii="Symbol" w:hAnsi="Symbol"/>
      </w:rPr>
    </w:lvl>
    <w:lvl w:ilvl="7" w:tplc="F4F6287E">
      <w:start w:val="1"/>
      <w:numFmt w:val="bullet"/>
      <w:lvlText w:val=""/>
      <w:lvlJc w:val="left"/>
      <w:pPr>
        <w:ind w:left="1080" w:hanging="360"/>
      </w:pPr>
      <w:rPr>
        <w:rFonts w:ascii="Symbol" w:hAnsi="Symbol"/>
      </w:rPr>
    </w:lvl>
    <w:lvl w:ilvl="8" w:tplc="E1F285D2">
      <w:start w:val="1"/>
      <w:numFmt w:val="bullet"/>
      <w:lvlText w:val=""/>
      <w:lvlJc w:val="left"/>
      <w:pPr>
        <w:ind w:left="1080" w:hanging="360"/>
      </w:pPr>
      <w:rPr>
        <w:rFonts w:ascii="Symbol" w:hAnsi="Symbol"/>
      </w:rPr>
    </w:lvl>
  </w:abstractNum>
  <w:abstractNum w:abstractNumId="19" w15:restartNumberingAfterBreak="0">
    <w:nsid w:val="34F26628"/>
    <w:multiLevelType w:val="multilevel"/>
    <w:tmpl w:val="9A80B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9A1FDB"/>
    <w:multiLevelType w:val="hybridMultilevel"/>
    <w:tmpl w:val="90A80088"/>
    <w:lvl w:ilvl="0" w:tplc="5F12886A">
      <w:start w:val="1"/>
      <w:numFmt w:val="bullet"/>
      <w:lvlText w:val=""/>
      <w:lvlJc w:val="left"/>
      <w:pPr>
        <w:ind w:left="720" w:hanging="360"/>
      </w:pPr>
      <w:rPr>
        <w:rFonts w:ascii="Symbol" w:hAnsi="Symbol" w:hint="default"/>
        <w:sz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16F0EAC"/>
    <w:multiLevelType w:val="multilevel"/>
    <w:tmpl w:val="0A1C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C72A5A"/>
    <w:multiLevelType w:val="hybridMultilevel"/>
    <w:tmpl w:val="0194C42A"/>
    <w:lvl w:ilvl="0" w:tplc="5F12886A">
      <w:start w:val="1"/>
      <w:numFmt w:val="bullet"/>
      <w:lvlText w:val=""/>
      <w:lvlJc w:val="left"/>
      <w:pPr>
        <w:ind w:left="720" w:hanging="360"/>
      </w:pPr>
      <w:rPr>
        <w:rFonts w:ascii="Symbol" w:hAnsi="Symbol" w:hint="default"/>
        <w:sz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6AF6085"/>
    <w:multiLevelType w:val="multilevel"/>
    <w:tmpl w:val="1DACB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792582"/>
    <w:multiLevelType w:val="multilevel"/>
    <w:tmpl w:val="3912E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BB612C"/>
    <w:multiLevelType w:val="hybridMultilevel"/>
    <w:tmpl w:val="2370E3F2"/>
    <w:lvl w:ilvl="0" w:tplc="6938EDBC">
      <w:start w:val="1"/>
      <w:numFmt w:val="bullet"/>
      <w:lvlText w:val=""/>
      <w:lvlJc w:val="left"/>
      <w:pPr>
        <w:ind w:left="1080" w:hanging="360"/>
      </w:pPr>
      <w:rPr>
        <w:rFonts w:ascii="Symbol" w:hAnsi="Symbol"/>
      </w:rPr>
    </w:lvl>
    <w:lvl w:ilvl="1" w:tplc="E766C338">
      <w:start w:val="1"/>
      <w:numFmt w:val="bullet"/>
      <w:lvlText w:val=""/>
      <w:lvlJc w:val="left"/>
      <w:pPr>
        <w:ind w:left="1080" w:hanging="360"/>
      </w:pPr>
      <w:rPr>
        <w:rFonts w:ascii="Symbol" w:hAnsi="Symbol"/>
      </w:rPr>
    </w:lvl>
    <w:lvl w:ilvl="2" w:tplc="EA50ABE0">
      <w:start w:val="1"/>
      <w:numFmt w:val="bullet"/>
      <w:lvlText w:val=""/>
      <w:lvlJc w:val="left"/>
      <w:pPr>
        <w:ind w:left="1080" w:hanging="360"/>
      </w:pPr>
      <w:rPr>
        <w:rFonts w:ascii="Symbol" w:hAnsi="Symbol"/>
      </w:rPr>
    </w:lvl>
    <w:lvl w:ilvl="3" w:tplc="5ED449F2">
      <w:start w:val="1"/>
      <w:numFmt w:val="bullet"/>
      <w:lvlText w:val=""/>
      <w:lvlJc w:val="left"/>
      <w:pPr>
        <w:ind w:left="1080" w:hanging="360"/>
      </w:pPr>
      <w:rPr>
        <w:rFonts w:ascii="Symbol" w:hAnsi="Symbol"/>
      </w:rPr>
    </w:lvl>
    <w:lvl w:ilvl="4" w:tplc="37843F46">
      <w:start w:val="1"/>
      <w:numFmt w:val="bullet"/>
      <w:lvlText w:val=""/>
      <w:lvlJc w:val="left"/>
      <w:pPr>
        <w:ind w:left="1080" w:hanging="360"/>
      </w:pPr>
      <w:rPr>
        <w:rFonts w:ascii="Symbol" w:hAnsi="Symbol"/>
      </w:rPr>
    </w:lvl>
    <w:lvl w:ilvl="5" w:tplc="B4129F4A">
      <w:start w:val="1"/>
      <w:numFmt w:val="bullet"/>
      <w:lvlText w:val=""/>
      <w:lvlJc w:val="left"/>
      <w:pPr>
        <w:ind w:left="1080" w:hanging="360"/>
      </w:pPr>
      <w:rPr>
        <w:rFonts w:ascii="Symbol" w:hAnsi="Symbol"/>
      </w:rPr>
    </w:lvl>
    <w:lvl w:ilvl="6" w:tplc="710C6F58">
      <w:start w:val="1"/>
      <w:numFmt w:val="bullet"/>
      <w:lvlText w:val=""/>
      <w:lvlJc w:val="left"/>
      <w:pPr>
        <w:ind w:left="1080" w:hanging="360"/>
      </w:pPr>
      <w:rPr>
        <w:rFonts w:ascii="Symbol" w:hAnsi="Symbol"/>
      </w:rPr>
    </w:lvl>
    <w:lvl w:ilvl="7" w:tplc="0130FC26">
      <w:start w:val="1"/>
      <w:numFmt w:val="bullet"/>
      <w:lvlText w:val=""/>
      <w:lvlJc w:val="left"/>
      <w:pPr>
        <w:ind w:left="1080" w:hanging="360"/>
      </w:pPr>
      <w:rPr>
        <w:rFonts w:ascii="Symbol" w:hAnsi="Symbol"/>
      </w:rPr>
    </w:lvl>
    <w:lvl w:ilvl="8" w:tplc="F63E5ED4">
      <w:start w:val="1"/>
      <w:numFmt w:val="bullet"/>
      <w:lvlText w:val=""/>
      <w:lvlJc w:val="left"/>
      <w:pPr>
        <w:ind w:left="1080" w:hanging="360"/>
      </w:pPr>
      <w:rPr>
        <w:rFonts w:ascii="Symbol" w:hAnsi="Symbol"/>
      </w:rPr>
    </w:lvl>
  </w:abstractNum>
  <w:abstractNum w:abstractNumId="26" w15:restartNumberingAfterBreak="0">
    <w:nsid w:val="4E87540B"/>
    <w:multiLevelType w:val="hybridMultilevel"/>
    <w:tmpl w:val="BB0670C4"/>
    <w:lvl w:ilvl="0" w:tplc="5F12886A">
      <w:start w:val="1"/>
      <w:numFmt w:val="bullet"/>
      <w:lvlText w:val=""/>
      <w:lvlJc w:val="left"/>
      <w:pPr>
        <w:ind w:left="720" w:hanging="360"/>
      </w:pPr>
      <w:rPr>
        <w:rFonts w:ascii="Symbol" w:hAnsi="Symbol" w:hint="default"/>
        <w:sz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F540DFB"/>
    <w:multiLevelType w:val="multilevel"/>
    <w:tmpl w:val="23409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775BEC"/>
    <w:multiLevelType w:val="multilevel"/>
    <w:tmpl w:val="930E2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437362"/>
    <w:multiLevelType w:val="multilevel"/>
    <w:tmpl w:val="874CF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E96B97"/>
    <w:multiLevelType w:val="hybridMultilevel"/>
    <w:tmpl w:val="4746B1B4"/>
    <w:lvl w:ilvl="0" w:tplc="DA28E598">
      <w:start w:val="1"/>
      <w:numFmt w:val="bullet"/>
      <w:lvlText w:val=""/>
      <w:lvlJc w:val="left"/>
      <w:pPr>
        <w:ind w:left="1080" w:hanging="360"/>
      </w:pPr>
      <w:rPr>
        <w:rFonts w:ascii="Symbol" w:hAnsi="Symbol"/>
      </w:rPr>
    </w:lvl>
    <w:lvl w:ilvl="1" w:tplc="F10AC6D0">
      <w:start w:val="1"/>
      <w:numFmt w:val="bullet"/>
      <w:lvlText w:val=""/>
      <w:lvlJc w:val="left"/>
      <w:pPr>
        <w:ind w:left="1440" w:hanging="360"/>
      </w:pPr>
      <w:rPr>
        <w:rFonts w:ascii="Symbol" w:hAnsi="Symbol"/>
      </w:rPr>
    </w:lvl>
    <w:lvl w:ilvl="2" w:tplc="E47C08E8">
      <w:start w:val="1"/>
      <w:numFmt w:val="bullet"/>
      <w:lvlText w:val=""/>
      <w:lvlJc w:val="left"/>
      <w:pPr>
        <w:ind w:left="1080" w:hanging="360"/>
      </w:pPr>
      <w:rPr>
        <w:rFonts w:ascii="Symbol" w:hAnsi="Symbol"/>
      </w:rPr>
    </w:lvl>
    <w:lvl w:ilvl="3" w:tplc="2C089776">
      <w:start w:val="1"/>
      <w:numFmt w:val="bullet"/>
      <w:lvlText w:val=""/>
      <w:lvlJc w:val="left"/>
      <w:pPr>
        <w:ind w:left="1080" w:hanging="360"/>
      </w:pPr>
      <w:rPr>
        <w:rFonts w:ascii="Symbol" w:hAnsi="Symbol"/>
      </w:rPr>
    </w:lvl>
    <w:lvl w:ilvl="4" w:tplc="3492525E">
      <w:start w:val="1"/>
      <w:numFmt w:val="bullet"/>
      <w:lvlText w:val=""/>
      <w:lvlJc w:val="left"/>
      <w:pPr>
        <w:ind w:left="1080" w:hanging="360"/>
      </w:pPr>
      <w:rPr>
        <w:rFonts w:ascii="Symbol" w:hAnsi="Symbol"/>
      </w:rPr>
    </w:lvl>
    <w:lvl w:ilvl="5" w:tplc="5CDE1980">
      <w:start w:val="1"/>
      <w:numFmt w:val="bullet"/>
      <w:lvlText w:val=""/>
      <w:lvlJc w:val="left"/>
      <w:pPr>
        <w:ind w:left="1080" w:hanging="360"/>
      </w:pPr>
      <w:rPr>
        <w:rFonts w:ascii="Symbol" w:hAnsi="Symbol"/>
      </w:rPr>
    </w:lvl>
    <w:lvl w:ilvl="6" w:tplc="AF421D7C">
      <w:start w:val="1"/>
      <w:numFmt w:val="bullet"/>
      <w:lvlText w:val=""/>
      <w:lvlJc w:val="left"/>
      <w:pPr>
        <w:ind w:left="1080" w:hanging="360"/>
      </w:pPr>
      <w:rPr>
        <w:rFonts w:ascii="Symbol" w:hAnsi="Symbol"/>
      </w:rPr>
    </w:lvl>
    <w:lvl w:ilvl="7" w:tplc="635E6B84">
      <w:start w:val="1"/>
      <w:numFmt w:val="bullet"/>
      <w:lvlText w:val=""/>
      <w:lvlJc w:val="left"/>
      <w:pPr>
        <w:ind w:left="1080" w:hanging="360"/>
      </w:pPr>
      <w:rPr>
        <w:rFonts w:ascii="Symbol" w:hAnsi="Symbol"/>
      </w:rPr>
    </w:lvl>
    <w:lvl w:ilvl="8" w:tplc="00F89210">
      <w:start w:val="1"/>
      <w:numFmt w:val="bullet"/>
      <w:lvlText w:val=""/>
      <w:lvlJc w:val="left"/>
      <w:pPr>
        <w:ind w:left="1080" w:hanging="360"/>
      </w:pPr>
      <w:rPr>
        <w:rFonts w:ascii="Symbol" w:hAnsi="Symbol"/>
      </w:rPr>
    </w:lvl>
  </w:abstractNum>
  <w:abstractNum w:abstractNumId="31" w15:restartNumberingAfterBreak="0">
    <w:nsid w:val="57B7627A"/>
    <w:multiLevelType w:val="hybridMultilevel"/>
    <w:tmpl w:val="3CC25E2E"/>
    <w:lvl w:ilvl="0" w:tplc="7DEE83F2">
      <w:start w:val="1"/>
      <w:numFmt w:val="bullet"/>
      <w:lvlText w:val=""/>
      <w:lvlJc w:val="left"/>
      <w:pPr>
        <w:ind w:left="1080" w:hanging="360"/>
      </w:pPr>
      <w:rPr>
        <w:rFonts w:ascii="Symbol" w:hAnsi="Symbol"/>
      </w:rPr>
    </w:lvl>
    <w:lvl w:ilvl="1" w:tplc="647C7ED2">
      <w:start w:val="1"/>
      <w:numFmt w:val="bullet"/>
      <w:lvlText w:val=""/>
      <w:lvlJc w:val="left"/>
      <w:pPr>
        <w:ind w:left="1080" w:hanging="360"/>
      </w:pPr>
      <w:rPr>
        <w:rFonts w:ascii="Symbol" w:hAnsi="Symbol"/>
      </w:rPr>
    </w:lvl>
    <w:lvl w:ilvl="2" w:tplc="BB7AC1CE">
      <w:start w:val="1"/>
      <w:numFmt w:val="bullet"/>
      <w:lvlText w:val=""/>
      <w:lvlJc w:val="left"/>
      <w:pPr>
        <w:ind w:left="1080" w:hanging="360"/>
      </w:pPr>
      <w:rPr>
        <w:rFonts w:ascii="Symbol" w:hAnsi="Symbol"/>
      </w:rPr>
    </w:lvl>
    <w:lvl w:ilvl="3" w:tplc="AF3AAF68">
      <w:start w:val="1"/>
      <w:numFmt w:val="bullet"/>
      <w:lvlText w:val=""/>
      <w:lvlJc w:val="left"/>
      <w:pPr>
        <w:ind w:left="1080" w:hanging="360"/>
      </w:pPr>
      <w:rPr>
        <w:rFonts w:ascii="Symbol" w:hAnsi="Symbol"/>
      </w:rPr>
    </w:lvl>
    <w:lvl w:ilvl="4" w:tplc="B5724E60">
      <w:start w:val="1"/>
      <w:numFmt w:val="bullet"/>
      <w:lvlText w:val=""/>
      <w:lvlJc w:val="left"/>
      <w:pPr>
        <w:ind w:left="1080" w:hanging="360"/>
      </w:pPr>
      <w:rPr>
        <w:rFonts w:ascii="Symbol" w:hAnsi="Symbol"/>
      </w:rPr>
    </w:lvl>
    <w:lvl w:ilvl="5" w:tplc="0A12C33C">
      <w:start w:val="1"/>
      <w:numFmt w:val="bullet"/>
      <w:lvlText w:val=""/>
      <w:lvlJc w:val="left"/>
      <w:pPr>
        <w:ind w:left="1080" w:hanging="360"/>
      </w:pPr>
      <w:rPr>
        <w:rFonts w:ascii="Symbol" w:hAnsi="Symbol"/>
      </w:rPr>
    </w:lvl>
    <w:lvl w:ilvl="6" w:tplc="84B6DAA8">
      <w:start w:val="1"/>
      <w:numFmt w:val="bullet"/>
      <w:lvlText w:val=""/>
      <w:lvlJc w:val="left"/>
      <w:pPr>
        <w:ind w:left="1080" w:hanging="360"/>
      </w:pPr>
      <w:rPr>
        <w:rFonts w:ascii="Symbol" w:hAnsi="Symbol"/>
      </w:rPr>
    </w:lvl>
    <w:lvl w:ilvl="7" w:tplc="F4FAE07E">
      <w:start w:val="1"/>
      <w:numFmt w:val="bullet"/>
      <w:lvlText w:val=""/>
      <w:lvlJc w:val="left"/>
      <w:pPr>
        <w:ind w:left="1080" w:hanging="360"/>
      </w:pPr>
      <w:rPr>
        <w:rFonts w:ascii="Symbol" w:hAnsi="Symbol"/>
      </w:rPr>
    </w:lvl>
    <w:lvl w:ilvl="8" w:tplc="E130A170">
      <w:start w:val="1"/>
      <w:numFmt w:val="bullet"/>
      <w:lvlText w:val=""/>
      <w:lvlJc w:val="left"/>
      <w:pPr>
        <w:ind w:left="1080" w:hanging="360"/>
      </w:pPr>
      <w:rPr>
        <w:rFonts w:ascii="Symbol" w:hAnsi="Symbol"/>
      </w:rPr>
    </w:lvl>
  </w:abstractNum>
  <w:abstractNum w:abstractNumId="32" w15:restartNumberingAfterBreak="0">
    <w:nsid w:val="5CC4201B"/>
    <w:multiLevelType w:val="multilevel"/>
    <w:tmpl w:val="CD469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513283"/>
    <w:multiLevelType w:val="hybridMultilevel"/>
    <w:tmpl w:val="366EACA8"/>
    <w:lvl w:ilvl="0" w:tplc="5F12886A">
      <w:start w:val="1"/>
      <w:numFmt w:val="bullet"/>
      <w:lvlText w:val=""/>
      <w:lvlJc w:val="left"/>
      <w:pPr>
        <w:ind w:left="720" w:hanging="360"/>
      </w:pPr>
      <w:rPr>
        <w:rFonts w:ascii="Symbol" w:hAnsi="Symbol" w:hint="default"/>
        <w:sz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537AD2"/>
    <w:multiLevelType w:val="multilevel"/>
    <w:tmpl w:val="514C2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9D1E64"/>
    <w:multiLevelType w:val="multilevel"/>
    <w:tmpl w:val="51464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08049C"/>
    <w:multiLevelType w:val="multilevel"/>
    <w:tmpl w:val="247AD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4913CE7"/>
    <w:multiLevelType w:val="hybridMultilevel"/>
    <w:tmpl w:val="791A6A60"/>
    <w:lvl w:ilvl="0" w:tplc="5F12886A">
      <w:start w:val="1"/>
      <w:numFmt w:val="bullet"/>
      <w:lvlText w:val=""/>
      <w:lvlJc w:val="left"/>
      <w:pPr>
        <w:ind w:left="720" w:hanging="360"/>
      </w:pPr>
      <w:rPr>
        <w:rFonts w:ascii="Symbol" w:hAnsi="Symbol" w:hint="default"/>
        <w:sz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A2F3268"/>
    <w:multiLevelType w:val="hybridMultilevel"/>
    <w:tmpl w:val="D4125C28"/>
    <w:lvl w:ilvl="0" w:tplc="EFAE70E2">
      <w:start w:val="1"/>
      <w:numFmt w:val="bullet"/>
      <w:lvlText w:val=""/>
      <w:lvlJc w:val="left"/>
      <w:pPr>
        <w:ind w:left="1080" w:hanging="360"/>
      </w:pPr>
      <w:rPr>
        <w:rFonts w:ascii="Symbol" w:hAnsi="Symbol"/>
      </w:rPr>
    </w:lvl>
    <w:lvl w:ilvl="1" w:tplc="2AFC50DA">
      <w:start w:val="1"/>
      <w:numFmt w:val="bullet"/>
      <w:lvlText w:val=""/>
      <w:lvlJc w:val="left"/>
      <w:pPr>
        <w:ind w:left="1080" w:hanging="360"/>
      </w:pPr>
      <w:rPr>
        <w:rFonts w:ascii="Symbol" w:hAnsi="Symbol"/>
      </w:rPr>
    </w:lvl>
    <w:lvl w:ilvl="2" w:tplc="398613DE">
      <w:start w:val="1"/>
      <w:numFmt w:val="bullet"/>
      <w:lvlText w:val=""/>
      <w:lvlJc w:val="left"/>
      <w:pPr>
        <w:ind w:left="1080" w:hanging="360"/>
      </w:pPr>
      <w:rPr>
        <w:rFonts w:ascii="Symbol" w:hAnsi="Symbol"/>
      </w:rPr>
    </w:lvl>
    <w:lvl w:ilvl="3" w:tplc="68367A18">
      <w:start w:val="1"/>
      <w:numFmt w:val="bullet"/>
      <w:lvlText w:val=""/>
      <w:lvlJc w:val="left"/>
      <w:pPr>
        <w:ind w:left="1080" w:hanging="360"/>
      </w:pPr>
      <w:rPr>
        <w:rFonts w:ascii="Symbol" w:hAnsi="Symbol"/>
      </w:rPr>
    </w:lvl>
    <w:lvl w:ilvl="4" w:tplc="909297F0">
      <w:start w:val="1"/>
      <w:numFmt w:val="bullet"/>
      <w:lvlText w:val=""/>
      <w:lvlJc w:val="left"/>
      <w:pPr>
        <w:ind w:left="1080" w:hanging="360"/>
      </w:pPr>
      <w:rPr>
        <w:rFonts w:ascii="Symbol" w:hAnsi="Symbol"/>
      </w:rPr>
    </w:lvl>
    <w:lvl w:ilvl="5" w:tplc="5ED46BDC">
      <w:start w:val="1"/>
      <w:numFmt w:val="bullet"/>
      <w:lvlText w:val=""/>
      <w:lvlJc w:val="left"/>
      <w:pPr>
        <w:ind w:left="1080" w:hanging="360"/>
      </w:pPr>
      <w:rPr>
        <w:rFonts w:ascii="Symbol" w:hAnsi="Symbol"/>
      </w:rPr>
    </w:lvl>
    <w:lvl w:ilvl="6" w:tplc="5FFA6B56">
      <w:start w:val="1"/>
      <w:numFmt w:val="bullet"/>
      <w:lvlText w:val=""/>
      <w:lvlJc w:val="left"/>
      <w:pPr>
        <w:ind w:left="1080" w:hanging="360"/>
      </w:pPr>
      <w:rPr>
        <w:rFonts w:ascii="Symbol" w:hAnsi="Symbol"/>
      </w:rPr>
    </w:lvl>
    <w:lvl w:ilvl="7" w:tplc="645A6F6A">
      <w:start w:val="1"/>
      <w:numFmt w:val="bullet"/>
      <w:lvlText w:val=""/>
      <w:lvlJc w:val="left"/>
      <w:pPr>
        <w:ind w:left="1080" w:hanging="360"/>
      </w:pPr>
      <w:rPr>
        <w:rFonts w:ascii="Symbol" w:hAnsi="Symbol"/>
      </w:rPr>
    </w:lvl>
    <w:lvl w:ilvl="8" w:tplc="AEAA5342">
      <w:start w:val="1"/>
      <w:numFmt w:val="bullet"/>
      <w:lvlText w:val=""/>
      <w:lvlJc w:val="left"/>
      <w:pPr>
        <w:ind w:left="1080" w:hanging="360"/>
      </w:pPr>
      <w:rPr>
        <w:rFonts w:ascii="Symbol" w:hAnsi="Symbol"/>
      </w:rPr>
    </w:lvl>
  </w:abstractNum>
  <w:abstractNum w:abstractNumId="39" w15:restartNumberingAfterBreak="0">
    <w:nsid w:val="7CF472E1"/>
    <w:multiLevelType w:val="hybridMultilevel"/>
    <w:tmpl w:val="0AD2606C"/>
    <w:lvl w:ilvl="0" w:tplc="84A8AE26">
      <w:start w:val="1"/>
      <w:numFmt w:val="bullet"/>
      <w:lvlText w:val=""/>
      <w:lvlJc w:val="left"/>
      <w:pPr>
        <w:ind w:left="1080" w:hanging="360"/>
      </w:pPr>
      <w:rPr>
        <w:rFonts w:ascii="Symbol" w:hAnsi="Symbol"/>
      </w:rPr>
    </w:lvl>
    <w:lvl w:ilvl="1" w:tplc="691E3554">
      <w:start w:val="1"/>
      <w:numFmt w:val="bullet"/>
      <w:lvlText w:val=""/>
      <w:lvlJc w:val="left"/>
      <w:pPr>
        <w:ind w:left="1440" w:hanging="360"/>
      </w:pPr>
      <w:rPr>
        <w:rFonts w:ascii="Symbol" w:hAnsi="Symbol"/>
      </w:rPr>
    </w:lvl>
    <w:lvl w:ilvl="2" w:tplc="3F8A182E">
      <w:start w:val="1"/>
      <w:numFmt w:val="bullet"/>
      <w:lvlText w:val=""/>
      <w:lvlJc w:val="left"/>
      <w:pPr>
        <w:ind w:left="1080" w:hanging="360"/>
      </w:pPr>
      <w:rPr>
        <w:rFonts w:ascii="Symbol" w:hAnsi="Symbol"/>
      </w:rPr>
    </w:lvl>
    <w:lvl w:ilvl="3" w:tplc="FB30166E">
      <w:start w:val="1"/>
      <w:numFmt w:val="bullet"/>
      <w:lvlText w:val=""/>
      <w:lvlJc w:val="left"/>
      <w:pPr>
        <w:ind w:left="1080" w:hanging="360"/>
      </w:pPr>
      <w:rPr>
        <w:rFonts w:ascii="Symbol" w:hAnsi="Symbol"/>
      </w:rPr>
    </w:lvl>
    <w:lvl w:ilvl="4" w:tplc="D00E3394">
      <w:start w:val="1"/>
      <w:numFmt w:val="bullet"/>
      <w:lvlText w:val=""/>
      <w:lvlJc w:val="left"/>
      <w:pPr>
        <w:ind w:left="1080" w:hanging="360"/>
      </w:pPr>
      <w:rPr>
        <w:rFonts w:ascii="Symbol" w:hAnsi="Symbol"/>
      </w:rPr>
    </w:lvl>
    <w:lvl w:ilvl="5" w:tplc="38A0B170">
      <w:start w:val="1"/>
      <w:numFmt w:val="bullet"/>
      <w:lvlText w:val=""/>
      <w:lvlJc w:val="left"/>
      <w:pPr>
        <w:ind w:left="1080" w:hanging="360"/>
      </w:pPr>
      <w:rPr>
        <w:rFonts w:ascii="Symbol" w:hAnsi="Symbol"/>
      </w:rPr>
    </w:lvl>
    <w:lvl w:ilvl="6" w:tplc="8D545CEE">
      <w:start w:val="1"/>
      <w:numFmt w:val="bullet"/>
      <w:lvlText w:val=""/>
      <w:lvlJc w:val="left"/>
      <w:pPr>
        <w:ind w:left="1080" w:hanging="360"/>
      </w:pPr>
      <w:rPr>
        <w:rFonts w:ascii="Symbol" w:hAnsi="Symbol"/>
      </w:rPr>
    </w:lvl>
    <w:lvl w:ilvl="7" w:tplc="9B1C2A22">
      <w:start w:val="1"/>
      <w:numFmt w:val="bullet"/>
      <w:lvlText w:val=""/>
      <w:lvlJc w:val="left"/>
      <w:pPr>
        <w:ind w:left="1080" w:hanging="360"/>
      </w:pPr>
      <w:rPr>
        <w:rFonts w:ascii="Symbol" w:hAnsi="Symbol"/>
      </w:rPr>
    </w:lvl>
    <w:lvl w:ilvl="8" w:tplc="ACFE366A">
      <w:start w:val="1"/>
      <w:numFmt w:val="bullet"/>
      <w:lvlText w:val=""/>
      <w:lvlJc w:val="left"/>
      <w:pPr>
        <w:ind w:left="1080" w:hanging="360"/>
      </w:pPr>
      <w:rPr>
        <w:rFonts w:ascii="Symbol" w:hAnsi="Symbol"/>
      </w:rPr>
    </w:lvl>
  </w:abstractNum>
  <w:abstractNum w:abstractNumId="40" w15:restartNumberingAfterBreak="0">
    <w:nsid w:val="7FAF321F"/>
    <w:multiLevelType w:val="hybridMultilevel"/>
    <w:tmpl w:val="FCDE74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59861592">
    <w:abstractNumId w:val="5"/>
  </w:num>
  <w:num w:numId="2" w16cid:durableId="925966879">
    <w:abstractNumId w:val="10"/>
  </w:num>
  <w:num w:numId="3" w16cid:durableId="1882553377">
    <w:abstractNumId w:val="15"/>
  </w:num>
  <w:num w:numId="4" w16cid:durableId="878589507">
    <w:abstractNumId w:val="33"/>
  </w:num>
  <w:num w:numId="5" w16cid:durableId="1862628529">
    <w:abstractNumId w:val="3"/>
  </w:num>
  <w:num w:numId="6" w16cid:durableId="843979436">
    <w:abstractNumId w:val="37"/>
  </w:num>
  <w:num w:numId="7" w16cid:durableId="963005590">
    <w:abstractNumId w:val="26"/>
  </w:num>
  <w:num w:numId="8" w16cid:durableId="335812120">
    <w:abstractNumId w:val="20"/>
  </w:num>
  <w:num w:numId="9" w16cid:durableId="873543330">
    <w:abstractNumId w:val="4"/>
  </w:num>
  <w:num w:numId="10" w16cid:durableId="959259170">
    <w:abstractNumId w:val="9"/>
  </w:num>
  <w:num w:numId="11" w16cid:durableId="373891475">
    <w:abstractNumId w:val="22"/>
  </w:num>
  <w:num w:numId="12" w16cid:durableId="2008630350">
    <w:abstractNumId w:val="12"/>
  </w:num>
  <w:num w:numId="13" w16cid:durableId="1535927914">
    <w:abstractNumId w:val="36"/>
  </w:num>
  <w:num w:numId="14" w16cid:durableId="582952393">
    <w:abstractNumId w:val="24"/>
  </w:num>
  <w:num w:numId="15" w16cid:durableId="1356688388">
    <w:abstractNumId w:val="23"/>
  </w:num>
  <w:num w:numId="16" w16cid:durableId="322196843">
    <w:abstractNumId w:val="32"/>
  </w:num>
  <w:num w:numId="17" w16cid:durableId="1542091729">
    <w:abstractNumId w:val="1"/>
  </w:num>
  <w:num w:numId="18" w16cid:durableId="1723407985">
    <w:abstractNumId w:val="34"/>
  </w:num>
  <w:num w:numId="19" w16cid:durableId="1709065560">
    <w:abstractNumId w:val="16"/>
  </w:num>
  <w:num w:numId="20" w16cid:durableId="222834894">
    <w:abstractNumId w:val="6"/>
  </w:num>
  <w:num w:numId="21" w16cid:durableId="1718433466">
    <w:abstractNumId w:val="28"/>
  </w:num>
  <w:num w:numId="22" w16cid:durableId="807473603">
    <w:abstractNumId w:val="35"/>
  </w:num>
  <w:num w:numId="23" w16cid:durableId="1281035527">
    <w:abstractNumId w:val="27"/>
  </w:num>
  <w:num w:numId="24" w16cid:durableId="2124183279">
    <w:abstractNumId w:val="29"/>
  </w:num>
  <w:num w:numId="25" w16cid:durableId="473718607">
    <w:abstractNumId w:val="7"/>
  </w:num>
  <w:num w:numId="26" w16cid:durableId="1310550105">
    <w:abstractNumId w:val="21"/>
  </w:num>
  <w:num w:numId="27" w16cid:durableId="1108742818">
    <w:abstractNumId w:val="17"/>
  </w:num>
  <w:num w:numId="28" w16cid:durableId="1028483497">
    <w:abstractNumId w:val="8"/>
  </w:num>
  <w:num w:numId="29" w16cid:durableId="2021809662">
    <w:abstractNumId w:val="13"/>
  </w:num>
  <w:num w:numId="30" w16cid:durableId="953436441">
    <w:abstractNumId w:val="19"/>
  </w:num>
  <w:num w:numId="31" w16cid:durableId="1807770973">
    <w:abstractNumId w:val="2"/>
  </w:num>
  <w:num w:numId="32" w16cid:durableId="1307858890">
    <w:abstractNumId w:val="38"/>
  </w:num>
  <w:num w:numId="33" w16cid:durableId="1957561721">
    <w:abstractNumId w:val="14"/>
  </w:num>
  <w:num w:numId="34" w16cid:durableId="1608930003">
    <w:abstractNumId w:val="31"/>
  </w:num>
  <w:num w:numId="35" w16cid:durableId="151215025">
    <w:abstractNumId w:val="39"/>
  </w:num>
  <w:num w:numId="36" w16cid:durableId="2087796319">
    <w:abstractNumId w:val="11"/>
  </w:num>
  <w:num w:numId="37" w16cid:durableId="701251921">
    <w:abstractNumId w:val="18"/>
  </w:num>
  <w:num w:numId="38" w16cid:durableId="1932663323">
    <w:abstractNumId w:val="30"/>
  </w:num>
  <w:num w:numId="39" w16cid:durableId="756826833">
    <w:abstractNumId w:val="25"/>
  </w:num>
  <w:num w:numId="40" w16cid:durableId="991569381">
    <w:abstractNumId w:val="0"/>
  </w:num>
  <w:num w:numId="41" w16cid:durableId="182481360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1F7"/>
    <w:rsid w:val="0000746B"/>
    <w:rsid w:val="000105CE"/>
    <w:rsid w:val="00013D0A"/>
    <w:rsid w:val="0002084A"/>
    <w:rsid w:val="000259E7"/>
    <w:rsid w:val="000267E2"/>
    <w:rsid w:val="0003000A"/>
    <w:rsid w:val="0003132D"/>
    <w:rsid w:val="00032B30"/>
    <w:rsid w:val="00033005"/>
    <w:rsid w:val="0004038D"/>
    <w:rsid w:val="00040D26"/>
    <w:rsid w:val="0004222C"/>
    <w:rsid w:val="00042CC5"/>
    <w:rsid w:val="00043470"/>
    <w:rsid w:val="000443E0"/>
    <w:rsid w:val="0004471F"/>
    <w:rsid w:val="00052DD8"/>
    <w:rsid w:val="000530A4"/>
    <w:rsid w:val="00053C2E"/>
    <w:rsid w:val="00054604"/>
    <w:rsid w:val="00057527"/>
    <w:rsid w:val="00057627"/>
    <w:rsid w:val="0005777D"/>
    <w:rsid w:val="000614C7"/>
    <w:rsid w:val="00061A04"/>
    <w:rsid w:val="000643A5"/>
    <w:rsid w:val="0006470B"/>
    <w:rsid w:val="00065832"/>
    <w:rsid w:val="00066242"/>
    <w:rsid w:val="00070095"/>
    <w:rsid w:val="000705C3"/>
    <w:rsid w:val="000745AF"/>
    <w:rsid w:val="000748BE"/>
    <w:rsid w:val="00074D8E"/>
    <w:rsid w:val="000767D4"/>
    <w:rsid w:val="000772E3"/>
    <w:rsid w:val="00077D72"/>
    <w:rsid w:val="000822FB"/>
    <w:rsid w:val="000859D2"/>
    <w:rsid w:val="00086EF2"/>
    <w:rsid w:val="0009235A"/>
    <w:rsid w:val="00092807"/>
    <w:rsid w:val="00096B02"/>
    <w:rsid w:val="000A102C"/>
    <w:rsid w:val="000A1EB0"/>
    <w:rsid w:val="000A257C"/>
    <w:rsid w:val="000A2762"/>
    <w:rsid w:val="000A64E9"/>
    <w:rsid w:val="000A6CAF"/>
    <w:rsid w:val="000B27E3"/>
    <w:rsid w:val="000B677C"/>
    <w:rsid w:val="000B6BB1"/>
    <w:rsid w:val="000C0F4A"/>
    <w:rsid w:val="000C279D"/>
    <w:rsid w:val="000C42F6"/>
    <w:rsid w:val="000C51BF"/>
    <w:rsid w:val="000D0028"/>
    <w:rsid w:val="000D15B2"/>
    <w:rsid w:val="000D3FE2"/>
    <w:rsid w:val="000D5E47"/>
    <w:rsid w:val="000D7574"/>
    <w:rsid w:val="000E09B9"/>
    <w:rsid w:val="000E0FA4"/>
    <w:rsid w:val="000E1318"/>
    <w:rsid w:val="000E1457"/>
    <w:rsid w:val="000E16CC"/>
    <w:rsid w:val="000E2D42"/>
    <w:rsid w:val="000E2DD2"/>
    <w:rsid w:val="000E3C54"/>
    <w:rsid w:val="000E43D9"/>
    <w:rsid w:val="000F0B92"/>
    <w:rsid w:val="000F1DE9"/>
    <w:rsid w:val="000F35F8"/>
    <w:rsid w:val="000F7946"/>
    <w:rsid w:val="00100950"/>
    <w:rsid w:val="001009D9"/>
    <w:rsid w:val="0010346E"/>
    <w:rsid w:val="001037E9"/>
    <w:rsid w:val="00106F4A"/>
    <w:rsid w:val="00107420"/>
    <w:rsid w:val="00107C72"/>
    <w:rsid w:val="00110398"/>
    <w:rsid w:val="00111245"/>
    <w:rsid w:val="00111CA8"/>
    <w:rsid w:val="001127C9"/>
    <w:rsid w:val="00112DC0"/>
    <w:rsid w:val="001133B7"/>
    <w:rsid w:val="00113731"/>
    <w:rsid w:val="00117618"/>
    <w:rsid w:val="00120663"/>
    <w:rsid w:val="001220AB"/>
    <w:rsid w:val="0012231C"/>
    <w:rsid w:val="001269BB"/>
    <w:rsid w:val="00127201"/>
    <w:rsid w:val="00127567"/>
    <w:rsid w:val="00134277"/>
    <w:rsid w:val="001377BD"/>
    <w:rsid w:val="00137D4C"/>
    <w:rsid w:val="00137E81"/>
    <w:rsid w:val="0014130B"/>
    <w:rsid w:val="001436E9"/>
    <w:rsid w:val="001439D0"/>
    <w:rsid w:val="00143EB5"/>
    <w:rsid w:val="001476C2"/>
    <w:rsid w:val="00147F62"/>
    <w:rsid w:val="00150A60"/>
    <w:rsid w:val="00150F53"/>
    <w:rsid w:val="001510FD"/>
    <w:rsid w:val="00151BE8"/>
    <w:rsid w:val="001525B5"/>
    <w:rsid w:val="001532E0"/>
    <w:rsid w:val="00156A2E"/>
    <w:rsid w:val="00157639"/>
    <w:rsid w:val="00157F00"/>
    <w:rsid w:val="0016398D"/>
    <w:rsid w:val="001742FD"/>
    <w:rsid w:val="00174527"/>
    <w:rsid w:val="00174BCF"/>
    <w:rsid w:val="00176EEF"/>
    <w:rsid w:val="00177F9F"/>
    <w:rsid w:val="00186D16"/>
    <w:rsid w:val="00190811"/>
    <w:rsid w:val="00191939"/>
    <w:rsid w:val="00194AA5"/>
    <w:rsid w:val="00197D0A"/>
    <w:rsid w:val="001A49DC"/>
    <w:rsid w:val="001A4ED4"/>
    <w:rsid w:val="001A6571"/>
    <w:rsid w:val="001A788C"/>
    <w:rsid w:val="001B0A8A"/>
    <w:rsid w:val="001B16ED"/>
    <w:rsid w:val="001B171C"/>
    <w:rsid w:val="001B1CA7"/>
    <w:rsid w:val="001B3873"/>
    <w:rsid w:val="001B5EAF"/>
    <w:rsid w:val="001B62E9"/>
    <w:rsid w:val="001B663E"/>
    <w:rsid w:val="001B6645"/>
    <w:rsid w:val="001B7FD3"/>
    <w:rsid w:val="001C0CD3"/>
    <w:rsid w:val="001C10EB"/>
    <w:rsid w:val="001C37B4"/>
    <w:rsid w:val="001C635B"/>
    <w:rsid w:val="001D63F1"/>
    <w:rsid w:val="001E0EB1"/>
    <w:rsid w:val="001E5996"/>
    <w:rsid w:val="001E5F49"/>
    <w:rsid w:val="001E70EE"/>
    <w:rsid w:val="001F3D83"/>
    <w:rsid w:val="001F448F"/>
    <w:rsid w:val="001F6738"/>
    <w:rsid w:val="001F6A22"/>
    <w:rsid w:val="001F741A"/>
    <w:rsid w:val="00200BAE"/>
    <w:rsid w:val="0020374C"/>
    <w:rsid w:val="00203F50"/>
    <w:rsid w:val="002145E5"/>
    <w:rsid w:val="0021497B"/>
    <w:rsid w:val="002171C4"/>
    <w:rsid w:val="00223CD0"/>
    <w:rsid w:val="00225D23"/>
    <w:rsid w:val="0023255A"/>
    <w:rsid w:val="002327ED"/>
    <w:rsid w:val="002329DD"/>
    <w:rsid w:val="002342B5"/>
    <w:rsid w:val="00235FFA"/>
    <w:rsid w:val="00240852"/>
    <w:rsid w:val="002433D1"/>
    <w:rsid w:val="00243C23"/>
    <w:rsid w:val="00246037"/>
    <w:rsid w:val="0024762F"/>
    <w:rsid w:val="00252DC1"/>
    <w:rsid w:val="00260A34"/>
    <w:rsid w:val="002622AF"/>
    <w:rsid w:val="002633D0"/>
    <w:rsid w:val="00263AB7"/>
    <w:rsid w:val="00264147"/>
    <w:rsid w:val="002650D3"/>
    <w:rsid w:val="00265550"/>
    <w:rsid w:val="00266081"/>
    <w:rsid w:val="0026645F"/>
    <w:rsid w:val="00274105"/>
    <w:rsid w:val="00275B20"/>
    <w:rsid w:val="00277B0F"/>
    <w:rsid w:val="0028111E"/>
    <w:rsid w:val="0028211D"/>
    <w:rsid w:val="0028278C"/>
    <w:rsid w:val="002870E8"/>
    <w:rsid w:val="002902BF"/>
    <w:rsid w:val="0029523D"/>
    <w:rsid w:val="002973C7"/>
    <w:rsid w:val="00297C6F"/>
    <w:rsid w:val="002A0269"/>
    <w:rsid w:val="002A0D4F"/>
    <w:rsid w:val="002A1D86"/>
    <w:rsid w:val="002A2306"/>
    <w:rsid w:val="002A23CA"/>
    <w:rsid w:val="002A4E88"/>
    <w:rsid w:val="002B043A"/>
    <w:rsid w:val="002B1262"/>
    <w:rsid w:val="002B12C2"/>
    <w:rsid w:val="002B1A9E"/>
    <w:rsid w:val="002B2277"/>
    <w:rsid w:val="002B5AEA"/>
    <w:rsid w:val="002B78D1"/>
    <w:rsid w:val="002C0965"/>
    <w:rsid w:val="002C38D2"/>
    <w:rsid w:val="002C42D5"/>
    <w:rsid w:val="002C4DC6"/>
    <w:rsid w:val="002C5B96"/>
    <w:rsid w:val="002C7D98"/>
    <w:rsid w:val="002E5654"/>
    <w:rsid w:val="002E660C"/>
    <w:rsid w:val="002F0432"/>
    <w:rsid w:val="002F0B80"/>
    <w:rsid w:val="002F119D"/>
    <w:rsid w:val="002F2300"/>
    <w:rsid w:val="002F3EE8"/>
    <w:rsid w:val="002F4199"/>
    <w:rsid w:val="002F487A"/>
    <w:rsid w:val="002F56C1"/>
    <w:rsid w:val="002F5AEE"/>
    <w:rsid w:val="00301392"/>
    <w:rsid w:val="00304E71"/>
    <w:rsid w:val="00307B00"/>
    <w:rsid w:val="0031015B"/>
    <w:rsid w:val="00313395"/>
    <w:rsid w:val="00313B49"/>
    <w:rsid w:val="003178B9"/>
    <w:rsid w:val="00320300"/>
    <w:rsid w:val="003229B4"/>
    <w:rsid w:val="0032501F"/>
    <w:rsid w:val="0032594D"/>
    <w:rsid w:val="00325B80"/>
    <w:rsid w:val="00326468"/>
    <w:rsid w:val="00326754"/>
    <w:rsid w:val="00326CD2"/>
    <w:rsid w:val="00334144"/>
    <w:rsid w:val="00335C2D"/>
    <w:rsid w:val="0033693E"/>
    <w:rsid w:val="003369AD"/>
    <w:rsid w:val="00336FB8"/>
    <w:rsid w:val="00337889"/>
    <w:rsid w:val="003379A6"/>
    <w:rsid w:val="00344F2A"/>
    <w:rsid w:val="003462AF"/>
    <w:rsid w:val="00347701"/>
    <w:rsid w:val="00347877"/>
    <w:rsid w:val="003478BE"/>
    <w:rsid w:val="00353C45"/>
    <w:rsid w:val="003562CF"/>
    <w:rsid w:val="00357412"/>
    <w:rsid w:val="00357EF5"/>
    <w:rsid w:val="00360F9C"/>
    <w:rsid w:val="00361598"/>
    <w:rsid w:val="0036497B"/>
    <w:rsid w:val="00364999"/>
    <w:rsid w:val="00365716"/>
    <w:rsid w:val="00365A3F"/>
    <w:rsid w:val="003663F2"/>
    <w:rsid w:val="003703BD"/>
    <w:rsid w:val="00370684"/>
    <w:rsid w:val="0037077E"/>
    <w:rsid w:val="003710DC"/>
    <w:rsid w:val="0037316A"/>
    <w:rsid w:val="00373D66"/>
    <w:rsid w:val="00373DFD"/>
    <w:rsid w:val="00374776"/>
    <w:rsid w:val="00375E78"/>
    <w:rsid w:val="0038448C"/>
    <w:rsid w:val="003872FA"/>
    <w:rsid w:val="00391E42"/>
    <w:rsid w:val="003934E8"/>
    <w:rsid w:val="00395594"/>
    <w:rsid w:val="003959CA"/>
    <w:rsid w:val="00396D5A"/>
    <w:rsid w:val="003A125B"/>
    <w:rsid w:val="003A133D"/>
    <w:rsid w:val="003A288D"/>
    <w:rsid w:val="003A5275"/>
    <w:rsid w:val="003A55CA"/>
    <w:rsid w:val="003A676E"/>
    <w:rsid w:val="003A7724"/>
    <w:rsid w:val="003B0783"/>
    <w:rsid w:val="003B0E92"/>
    <w:rsid w:val="003B19E8"/>
    <w:rsid w:val="003C0EDE"/>
    <w:rsid w:val="003C176F"/>
    <w:rsid w:val="003C307B"/>
    <w:rsid w:val="003C56F0"/>
    <w:rsid w:val="003C5F56"/>
    <w:rsid w:val="003C721D"/>
    <w:rsid w:val="003D03D9"/>
    <w:rsid w:val="003D04F1"/>
    <w:rsid w:val="003D10ED"/>
    <w:rsid w:val="003D1A3A"/>
    <w:rsid w:val="003D25A7"/>
    <w:rsid w:val="003D344B"/>
    <w:rsid w:val="003D6D3E"/>
    <w:rsid w:val="003E1703"/>
    <w:rsid w:val="003E2A8B"/>
    <w:rsid w:val="003E30AD"/>
    <w:rsid w:val="003E4224"/>
    <w:rsid w:val="003E5003"/>
    <w:rsid w:val="003E5125"/>
    <w:rsid w:val="003E5C39"/>
    <w:rsid w:val="003E6000"/>
    <w:rsid w:val="003E672B"/>
    <w:rsid w:val="003E7100"/>
    <w:rsid w:val="003F164E"/>
    <w:rsid w:val="003F23C9"/>
    <w:rsid w:val="003F5B8A"/>
    <w:rsid w:val="003F5DAF"/>
    <w:rsid w:val="003F67E5"/>
    <w:rsid w:val="003F6E9B"/>
    <w:rsid w:val="004002AC"/>
    <w:rsid w:val="00400F68"/>
    <w:rsid w:val="004022D8"/>
    <w:rsid w:val="0040390A"/>
    <w:rsid w:val="0040499E"/>
    <w:rsid w:val="00405CAF"/>
    <w:rsid w:val="00407875"/>
    <w:rsid w:val="00411090"/>
    <w:rsid w:val="004114EA"/>
    <w:rsid w:val="00415B3C"/>
    <w:rsid w:val="004160DC"/>
    <w:rsid w:val="00420918"/>
    <w:rsid w:val="00420B8E"/>
    <w:rsid w:val="004212BB"/>
    <w:rsid w:val="004230A5"/>
    <w:rsid w:val="00424F58"/>
    <w:rsid w:val="004314B1"/>
    <w:rsid w:val="0043199F"/>
    <w:rsid w:val="00435B10"/>
    <w:rsid w:val="0043722D"/>
    <w:rsid w:val="004442B4"/>
    <w:rsid w:val="00445363"/>
    <w:rsid w:val="00445F9A"/>
    <w:rsid w:val="0044712E"/>
    <w:rsid w:val="004472AD"/>
    <w:rsid w:val="00451C09"/>
    <w:rsid w:val="004532AD"/>
    <w:rsid w:val="0045400E"/>
    <w:rsid w:val="0045450B"/>
    <w:rsid w:val="0045499A"/>
    <w:rsid w:val="00454C5B"/>
    <w:rsid w:val="00455B78"/>
    <w:rsid w:val="00460012"/>
    <w:rsid w:val="00462D22"/>
    <w:rsid w:val="00464BEF"/>
    <w:rsid w:val="00466707"/>
    <w:rsid w:val="00472E32"/>
    <w:rsid w:val="0047722A"/>
    <w:rsid w:val="00477B0A"/>
    <w:rsid w:val="00477C43"/>
    <w:rsid w:val="00477C51"/>
    <w:rsid w:val="00483B02"/>
    <w:rsid w:val="004841BA"/>
    <w:rsid w:val="004857CD"/>
    <w:rsid w:val="004916B8"/>
    <w:rsid w:val="0049236C"/>
    <w:rsid w:val="00497087"/>
    <w:rsid w:val="004A188D"/>
    <w:rsid w:val="004A2CC8"/>
    <w:rsid w:val="004B3070"/>
    <w:rsid w:val="004C0D0A"/>
    <w:rsid w:val="004C41DF"/>
    <w:rsid w:val="004C4E6F"/>
    <w:rsid w:val="004C7BAC"/>
    <w:rsid w:val="004D09A8"/>
    <w:rsid w:val="004D0F2A"/>
    <w:rsid w:val="004D2B7A"/>
    <w:rsid w:val="004D45E9"/>
    <w:rsid w:val="004D5CDD"/>
    <w:rsid w:val="004D66C0"/>
    <w:rsid w:val="004D6F6C"/>
    <w:rsid w:val="004E1224"/>
    <w:rsid w:val="004E124B"/>
    <w:rsid w:val="004E2BBD"/>
    <w:rsid w:val="004E36CE"/>
    <w:rsid w:val="004E4662"/>
    <w:rsid w:val="004E64D3"/>
    <w:rsid w:val="004E7DBC"/>
    <w:rsid w:val="004F10C5"/>
    <w:rsid w:val="004F137D"/>
    <w:rsid w:val="004F283E"/>
    <w:rsid w:val="004F2AF2"/>
    <w:rsid w:val="004F3062"/>
    <w:rsid w:val="004F39A8"/>
    <w:rsid w:val="004F60AC"/>
    <w:rsid w:val="004F667E"/>
    <w:rsid w:val="004F7CDF"/>
    <w:rsid w:val="00501997"/>
    <w:rsid w:val="00501D3F"/>
    <w:rsid w:val="005024A3"/>
    <w:rsid w:val="00504B26"/>
    <w:rsid w:val="00504E8E"/>
    <w:rsid w:val="00506747"/>
    <w:rsid w:val="0051215D"/>
    <w:rsid w:val="00512695"/>
    <w:rsid w:val="00513FF9"/>
    <w:rsid w:val="00514AF8"/>
    <w:rsid w:val="00515E78"/>
    <w:rsid w:val="0051637F"/>
    <w:rsid w:val="00521802"/>
    <w:rsid w:val="00521849"/>
    <w:rsid w:val="005239FA"/>
    <w:rsid w:val="00526B42"/>
    <w:rsid w:val="0053074D"/>
    <w:rsid w:val="00534BA0"/>
    <w:rsid w:val="00537258"/>
    <w:rsid w:val="00537C70"/>
    <w:rsid w:val="00537E5D"/>
    <w:rsid w:val="00540552"/>
    <w:rsid w:val="00540646"/>
    <w:rsid w:val="00540F02"/>
    <w:rsid w:val="0054142A"/>
    <w:rsid w:val="00547C8B"/>
    <w:rsid w:val="00556AF2"/>
    <w:rsid w:val="005610C4"/>
    <w:rsid w:val="00561107"/>
    <w:rsid w:val="0056136A"/>
    <w:rsid w:val="00562443"/>
    <w:rsid w:val="005624D4"/>
    <w:rsid w:val="00564237"/>
    <w:rsid w:val="00565033"/>
    <w:rsid w:val="0056574C"/>
    <w:rsid w:val="00565D9A"/>
    <w:rsid w:val="00573256"/>
    <w:rsid w:val="00573CE0"/>
    <w:rsid w:val="005742A1"/>
    <w:rsid w:val="00574A60"/>
    <w:rsid w:val="00574B17"/>
    <w:rsid w:val="005840B3"/>
    <w:rsid w:val="005840EF"/>
    <w:rsid w:val="00584E08"/>
    <w:rsid w:val="00587FF7"/>
    <w:rsid w:val="00590653"/>
    <w:rsid w:val="00591138"/>
    <w:rsid w:val="00591525"/>
    <w:rsid w:val="005925DE"/>
    <w:rsid w:val="005938AC"/>
    <w:rsid w:val="00595884"/>
    <w:rsid w:val="00595E40"/>
    <w:rsid w:val="005A0C3E"/>
    <w:rsid w:val="005A2314"/>
    <w:rsid w:val="005A238C"/>
    <w:rsid w:val="005A5547"/>
    <w:rsid w:val="005B05CD"/>
    <w:rsid w:val="005B0CDA"/>
    <w:rsid w:val="005B2A62"/>
    <w:rsid w:val="005B4A7C"/>
    <w:rsid w:val="005B723E"/>
    <w:rsid w:val="005B7277"/>
    <w:rsid w:val="005B736C"/>
    <w:rsid w:val="005B741A"/>
    <w:rsid w:val="005B7524"/>
    <w:rsid w:val="005C0586"/>
    <w:rsid w:val="005C572E"/>
    <w:rsid w:val="005C7069"/>
    <w:rsid w:val="005C7422"/>
    <w:rsid w:val="005C79DE"/>
    <w:rsid w:val="005D26C1"/>
    <w:rsid w:val="005D5ECC"/>
    <w:rsid w:val="005E051A"/>
    <w:rsid w:val="005E2BAC"/>
    <w:rsid w:val="005E304E"/>
    <w:rsid w:val="005E37A0"/>
    <w:rsid w:val="005E397A"/>
    <w:rsid w:val="005E51FC"/>
    <w:rsid w:val="005E546E"/>
    <w:rsid w:val="005E6471"/>
    <w:rsid w:val="005E698C"/>
    <w:rsid w:val="005F0A7A"/>
    <w:rsid w:val="005F171D"/>
    <w:rsid w:val="005F21FF"/>
    <w:rsid w:val="005F2303"/>
    <w:rsid w:val="005F618D"/>
    <w:rsid w:val="005F6CED"/>
    <w:rsid w:val="0060070D"/>
    <w:rsid w:val="00601E4F"/>
    <w:rsid w:val="00604387"/>
    <w:rsid w:val="00606188"/>
    <w:rsid w:val="00610C1C"/>
    <w:rsid w:val="0061195D"/>
    <w:rsid w:val="00612DF4"/>
    <w:rsid w:val="00615AFD"/>
    <w:rsid w:val="00621ECF"/>
    <w:rsid w:val="006231DE"/>
    <w:rsid w:val="006234CC"/>
    <w:rsid w:val="00623526"/>
    <w:rsid w:val="00624ACC"/>
    <w:rsid w:val="006309F4"/>
    <w:rsid w:val="006313A1"/>
    <w:rsid w:val="006372AF"/>
    <w:rsid w:val="0064193B"/>
    <w:rsid w:val="006462D7"/>
    <w:rsid w:val="00646985"/>
    <w:rsid w:val="0064701E"/>
    <w:rsid w:val="00650D69"/>
    <w:rsid w:val="00651DFD"/>
    <w:rsid w:val="00657673"/>
    <w:rsid w:val="006612DE"/>
    <w:rsid w:val="00661F50"/>
    <w:rsid w:val="00663426"/>
    <w:rsid w:val="006715DF"/>
    <w:rsid w:val="00673588"/>
    <w:rsid w:val="00674466"/>
    <w:rsid w:val="00677519"/>
    <w:rsid w:val="006808B6"/>
    <w:rsid w:val="00683977"/>
    <w:rsid w:val="00685B4E"/>
    <w:rsid w:val="006864C2"/>
    <w:rsid w:val="006873A3"/>
    <w:rsid w:val="00690DB2"/>
    <w:rsid w:val="006913E3"/>
    <w:rsid w:val="00691FC8"/>
    <w:rsid w:val="00693E9E"/>
    <w:rsid w:val="006A0668"/>
    <w:rsid w:val="006A0950"/>
    <w:rsid w:val="006A191F"/>
    <w:rsid w:val="006A32B8"/>
    <w:rsid w:val="006A5064"/>
    <w:rsid w:val="006A519B"/>
    <w:rsid w:val="006A789E"/>
    <w:rsid w:val="006B5D52"/>
    <w:rsid w:val="006C32CA"/>
    <w:rsid w:val="006C5A9B"/>
    <w:rsid w:val="006C60CA"/>
    <w:rsid w:val="006C6E0F"/>
    <w:rsid w:val="006C7861"/>
    <w:rsid w:val="006D0591"/>
    <w:rsid w:val="006D0D3C"/>
    <w:rsid w:val="006D2972"/>
    <w:rsid w:val="006D3500"/>
    <w:rsid w:val="006D4A3D"/>
    <w:rsid w:val="006E08A9"/>
    <w:rsid w:val="006E21B3"/>
    <w:rsid w:val="006E2D7F"/>
    <w:rsid w:val="006E2EBE"/>
    <w:rsid w:val="006E5A41"/>
    <w:rsid w:val="006F1726"/>
    <w:rsid w:val="006F2A65"/>
    <w:rsid w:val="006F5E55"/>
    <w:rsid w:val="00700133"/>
    <w:rsid w:val="00700CD4"/>
    <w:rsid w:val="00701375"/>
    <w:rsid w:val="007016EA"/>
    <w:rsid w:val="00701712"/>
    <w:rsid w:val="0070232D"/>
    <w:rsid w:val="007059B4"/>
    <w:rsid w:val="00705AAE"/>
    <w:rsid w:val="00710B7F"/>
    <w:rsid w:val="0071621D"/>
    <w:rsid w:val="00717FDD"/>
    <w:rsid w:val="00721D59"/>
    <w:rsid w:val="00721D8E"/>
    <w:rsid w:val="00727358"/>
    <w:rsid w:val="00727708"/>
    <w:rsid w:val="00730C93"/>
    <w:rsid w:val="00734982"/>
    <w:rsid w:val="00735678"/>
    <w:rsid w:val="007431D1"/>
    <w:rsid w:val="007439A3"/>
    <w:rsid w:val="0074617E"/>
    <w:rsid w:val="0074793E"/>
    <w:rsid w:val="00750A7A"/>
    <w:rsid w:val="0075665B"/>
    <w:rsid w:val="007603BC"/>
    <w:rsid w:val="00762E44"/>
    <w:rsid w:val="00763F17"/>
    <w:rsid w:val="00764D29"/>
    <w:rsid w:val="0076786D"/>
    <w:rsid w:val="0077053D"/>
    <w:rsid w:val="00771FA0"/>
    <w:rsid w:val="00772BEE"/>
    <w:rsid w:val="0077381C"/>
    <w:rsid w:val="007757A4"/>
    <w:rsid w:val="0077656F"/>
    <w:rsid w:val="007765C3"/>
    <w:rsid w:val="0077707C"/>
    <w:rsid w:val="00777A7C"/>
    <w:rsid w:val="00777E88"/>
    <w:rsid w:val="007806E7"/>
    <w:rsid w:val="00781B56"/>
    <w:rsid w:val="00783AB6"/>
    <w:rsid w:val="007849D3"/>
    <w:rsid w:val="007919ED"/>
    <w:rsid w:val="007925FC"/>
    <w:rsid w:val="00792C98"/>
    <w:rsid w:val="00795E3A"/>
    <w:rsid w:val="007A1BB9"/>
    <w:rsid w:val="007A2CB9"/>
    <w:rsid w:val="007A37E9"/>
    <w:rsid w:val="007A3CBA"/>
    <w:rsid w:val="007A40FB"/>
    <w:rsid w:val="007B09BB"/>
    <w:rsid w:val="007B2E84"/>
    <w:rsid w:val="007B38D4"/>
    <w:rsid w:val="007B441A"/>
    <w:rsid w:val="007B4B3B"/>
    <w:rsid w:val="007B4EF5"/>
    <w:rsid w:val="007C38F3"/>
    <w:rsid w:val="007C3DA7"/>
    <w:rsid w:val="007C4C21"/>
    <w:rsid w:val="007C5C5F"/>
    <w:rsid w:val="007C6CC7"/>
    <w:rsid w:val="007D16D2"/>
    <w:rsid w:val="007D1F7C"/>
    <w:rsid w:val="007D2AB4"/>
    <w:rsid w:val="007D2B93"/>
    <w:rsid w:val="007D2F3A"/>
    <w:rsid w:val="007D3AE0"/>
    <w:rsid w:val="007D452A"/>
    <w:rsid w:val="007D69E1"/>
    <w:rsid w:val="007E0968"/>
    <w:rsid w:val="007E2D09"/>
    <w:rsid w:val="007E6920"/>
    <w:rsid w:val="007E6934"/>
    <w:rsid w:val="007F06C7"/>
    <w:rsid w:val="007F14CF"/>
    <w:rsid w:val="007F2956"/>
    <w:rsid w:val="007F3C77"/>
    <w:rsid w:val="007F531B"/>
    <w:rsid w:val="007F567A"/>
    <w:rsid w:val="007F627F"/>
    <w:rsid w:val="007F63D1"/>
    <w:rsid w:val="00800BDC"/>
    <w:rsid w:val="00802D30"/>
    <w:rsid w:val="00805CA8"/>
    <w:rsid w:val="00807773"/>
    <w:rsid w:val="0081042A"/>
    <w:rsid w:val="008105EA"/>
    <w:rsid w:val="0081321C"/>
    <w:rsid w:val="0081462D"/>
    <w:rsid w:val="008151D2"/>
    <w:rsid w:val="00815312"/>
    <w:rsid w:val="008160A2"/>
    <w:rsid w:val="008168B6"/>
    <w:rsid w:val="008203A1"/>
    <w:rsid w:val="0082171E"/>
    <w:rsid w:val="00822C9A"/>
    <w:rsid w:val="008267F2"/>
    <w:rsid w:val="00830061"/>
    <w:rsid w:val="00833F69"/>
    <w:rsid w:val="00834A3A"/>
    <w:rsid w:val="00837A72"/>
    <w:rsid w:val="00841397"/>
    <w:rsid w:val="008421F3"/>
    <w:rsid w:val="00844E7B"/>
    <w:rsid w:val="00845EA5"/>
    <w:rsid w:val="00850196"/>
    <w:rsid w:val="00854AFB"/>
    <w:rsid w:val="00856F4D"/>
    <w:rsid w:val="008600CF"/>
    <w:rsid w:val="00861FED"/>
    <w:rsid w:val="0086380D"/>
    <w:rsid w:val="008648F9"/>
    <w:rsid w:val="00866256"/>
    <w:rsid w:val="00867DDA"/>
    <w:rsid w:val="00867EB2"/>
    <w:rsid w:val="008701F7"/>
    <w:rsid w:val="008709F4"/>
    <w:rsid w:val="00870FD6"/>
    <w:rsid w:val="008717EE"/>
    <w:rsid w:val="00872061"/>
    <w:rsid w:val="00876A3B"/>
    <w:rsid w:val="00876F8D"/>
    <w:rsid w:val="008802DB"/>
    <w:rsid w:val="00881311"/>
    <w:rsid w:val="00884A39"/>
    <w:rsid w:val="0088711E"/>
    <w:rsid w:val="008912F1"/>
    <w:rsid w:val="00891A8A"/>
    <w:rsid w:val="00891EFE"/>
    <w:rsid w:val="008921E3"/>
    <w:rsid w:val="00893315"/>
    <w:rsid w:val="00894842"/>
    <w:rsid w:val="00895AF1"/>
    <w:rsid w:val="008974D5"/>
    <w:rsid w:val="008A0726"/>
    <w:rsid w:val="008A14A7"/>
    <w:rsid w:val="008A308A"/>
    <w:rsid w:val="008A36EC"/>
    <w:rsid w:val="008A567A"/>
    <w:rsid w:val="008A7456"/>
    <w:rsid w:val="008A7968"/>
    <w:rsid w:val="008B0F07"/>
    <w:rsid w:val="008B5C11"/>
    <w:rsid w:val="008B6BB5"/>
    <w:rsid w:val="008D0019"/>
    <w:rsid w:val="008D10CB"/>
    <w:rsid w:val="008D1C27"/>
    <w:rsid w:val="008D368E"/>
    <w:rsid w:val="008D43BF"/>
    <w:rsid w:val="008D4C51"/>
    <w:rsid w:val="008D57A4"/>
    <w:rsid w:val="008D5CF5"/>
    <w:rsid w:val="008D6FC0"/>
    <w:rsid w:val="008D7AD5"/>
    <w:rsid w:val="008E0EAA"/>
    <w:rsid w:val="008E2C97"/>
    <w:rsid w:val="008E6C67"/>
    <w:rsid w:val="008E7786"/>
    <w:rsid w:val="008F2E0D"/>
    <w:rsid w:val="008F72AC"/>
    <w:rsid w:val="0090322E"/>
    <w:rsid w:val="00904C57"/>
    <w:rsid w:val="00905322"/>
    <w:rsid w:val="009068A0"/>
    <w:rsid w:val="00912752"/>
    <w:rsid w:val="0091412B"/>
    <w:rsid w:val="0091451D"/>
    <w:rsid w:val="00921504"/>
    <w:rsid w:val="00923140"/>
    <w:rsid w:val="00925BBB"/>
    <w:rsid w:val="00933C34"/>
    <w:rsid w:val="00933E17"/>
    <w:rsid w:val="00934000"/>
    <w:rsid w:val="009378AD"/>
    <w:rsid w:val="00942C4C"/>
    <w:rsid w:val="00944144"/>
    <w:rsid w:val="00946E29"/>
    <w:rsid w:val="00947B89"/>
    <w:rsid w:val="009512C7"/>
    <w:rsid w:val="009512D2"/>
    <w:rsid w:val="009558DC"/>
    <w:rsid w:val="009567AC"/>
    <w:rsid w:val="00956A1E"/>
    <w:rsid w:val="009571D7"/>
    <w:rsid w:val="00964D5E"/>
    <w:rsid w:val="00966B3E"/>
    <w:rsid w:val="00970733"/>
    <w:rsid w:val="009716AC"/>
    <w:rsid w:val="00971AE3"/>
    <w:rsid w:val="00971B6D"/>
    <w:rsid w:val="00972F51"/>
    <w:rsid w:val="00975517"/>
    <w:rsid w:val="009769D6"/>
    <w:rsid w:val="00982568"/>
    <w:rsid w:val="00986C5B"/>
    <w:rsid w:val="009907FC"/>
    <w:rsid w:val="00992C40"/>
    <w:rsid w:val="00992E30"/>
    <w:rsid w:val="009936A0"/>
    <w:rsid w:val="009948CF"/>
    <w:rsid w:val="009A0705"/>
    <w:rsid w:val="009A149D"/>
    <w:rsid w:val="009A27E7"/>
    <w:rsid w:val="009A3902"/>
    <w:rsid w:val="009A53A5"/>
    <w:rsid w:val="009A57B5"/>
    <w:rsid w:val="009A769A"/>
    <w:rsid w:val="009B22C6"/>
    <w:rsid w:val="009B374A"/>
    <w:rsid w:val="009B461E"/>
    <w:rsid w:val="009B4C62"/>
    <w:rsid w:val="009B54E5"/>
    <w:rsid w:val="009B73A7"/>
    <w:rsid w:val="009C0C5D"/>
    <w:rsid w:val="009C25FF"/>
    <w:rsid w:val="009C3D64"/>
    <w:rsid w:val="009C5536"/>
    <w:rsid w:val="009C62E9"/>
    <w:rsid w:val="009C657D"/>
    <w:rsid w:val="009C66C2"/>
    <w:rsid w:val="009C7610"/>
    <w:rsid w:val="009C78E3"/>
    <w:rsid w:val="009D2F11"/>
    <w:rsid w:val="009D3327"/>
    <w:rsid w:val="009D67FB"/>
    <w:rsid w:val="009E3D83"/>
    <w:rsid w:val="009E69A7"/>
    <w:rsid w:val="009E6F28"/>
    <w:rsid w:val="009E7E5A"/>
    <w:rsid w:val="009F0498"/>
    <w:rsid w:val="009F292C"/>
    <w:rsid w:val="009F454B"/>
    <w:rsid w:val="009F522E"/>
    <w:rsid w:val="00A02E94"/>
    <w:rsid w:val="00A0357A"/>
    <w:rsid w:val="00A05D3B"/>
    <w:rsid w:val="00A065EA"/>
    <w:rsid w:val="00A06D1D"/>
    <w:rsid w:val="00A07498"/>
    <w:rsid w:val="00A11BAB"/>
    <w:rsid w:val="00A11CA1"/>
    <w:rsid w:val="00A1285B"/>
    <w:rsid w:val="00A13BEC"/>
    <w:rsid w:val="00A14602"/>
    <w:rsid w:val="00A15ED1"/>
    <w:rsid w:val="00A16BBD"/>
    <w:rsid w:val="00A16DD4"/>
    <w:rsid w:val="00A21966"/>
    <w:rsid w:val="00A2495A"/>
    <w:rsid w:val="00A249A9"/>
    <w:rsid w:val="00A249E4"/>
    <w:rsid w:val="00A26AD6"/>
    <w:rsid w:val="00A3353A"/>
    <w:rsid w:val="00A34C39"/>
    <w:rsid w:val="00A40B51"/>
    <w:rsid w:val="00A41939"/>
    <w:rsid w:val="00A42396"/>
    <w:rsid w:val="00A440E6"/>
    <w:rsid w:val="00A53606"/>
    <w:rsid w:val="00A53B42"/>
    <w:rsid w:val="00A54A53"/>
    <w:rsid w:val="00A569FD"/>
    <w:rsid w:val="00A61733"/>
    <w:rsid w:val="00A61C37"/>
    <w:rsid w:val="00A621B4"/>
    <w:rsid w:val="00A63182"/>
    <w:rsid w:val="00A63A41"/>
    <w:rsid w:val="00A64EDF"/>
    <w:rsid w:val="00A66EDA"/>
    <w:rsid w:val="00A7046B"/>
    <w:rsid w:val="00A71EB7"/>
    <w:rsid w:val="00A72C30"/>
    <w:rsid w:val="00A73721"/>
    <w:rsid w:val="00A765C3"/>
    <w:rsid w:val="00A76CE7"/>
    <w:rsid w:val="00A77837"/>
    <w:rsid w:val="00A77C3A"/>
    <w:rsid w:val="00A81757"/>
    <w:rsid w:val="00A829E4"/>
    <w:rsid w:val="00A86C4B"/>
    <w:rsid w:val="00A86FD0"/>
    <w:rsid w:val="00A9062B"/>
    <w:rsid w:val="00A957E0"/>
    <w:rsid w:val="00AA0C7B"/>
    <w:rsid w:val="00AA15EB"/>
    <w:rsid w:val="00AA1B4D"/>
    <w:rsid w:val="00AA2F90"/>
    <w:rsid w:val="00AA3A62"/>
    <w:rsid w:val="00AA6729"/>
    <w:rsid w:val="00AA6783"/>
    <w:rsid w:val="00AB0814"/>
    <w:rsid w:val="00AB4076"/>
    <w:rsid w:val="00AB52B6"/>
    <w:rsid w:val="00AB6221"/>
    <w:rsid w:val="00AB68E4"/>
    <w:rsid w:val="00AC302F"/>
    <w:rsid w:val="00AC359E"/>
    <w:rsid w:val="00AC3A42"/>
    <w:rsid w:val="00AC6E78"/>
    <w:rsid w:val="00AC7E07"/>
    <w:rsid w:val="00AD04FF"/>
    <w:rsid w:val="00AD47F3"/>
    <w:rsid w:val="00AD7D68"/>
    <w:rsid w:val="00AE4267"/>
    <w:rsid w:val="00AE4306"/>
    <w:rsid w:val="00AE59A9"/>
    <w:rsid w:val="00AE5A50"/>
    <w:rsid w:val="00AF6ED0"/>
    <w:rsid w:val="00B0137D"/>
    <w:rsid w:val="00B026E7"/>
    <w:rsid w:val="00B02E78"/>
    <w:rsid w:val="00B02F66"/>
    <w:rsid w:val="00B04A97"/>
    <w:rsid w:val="00B05814"/>
    <w:rsid w:val="00B05C5A"/>
    <w:rsid w:val="00B07E92"/>
    <w:rsid w:val="00B10A63"/>
    <w:rsid w:val="00B12739"/>
    <w:rsid w:val="00B12F6A"/>
    <w:rsid w:val="00B1414E"/>
    <w:rsid w:val="00B146A1"/>
    <w:rsid w:val="00B15946"/>
    <w:rsid w:val="00B172EE"/>
    <w:rsid w:val="00B17988"/>
    <w:rsid w:val="00B20FB2"/>
    <w:rsid w:val="00B22192"/>
    <w:rsid w:val="00B235C2"/>
    <w:rsid w:val="00B23A85"/>
    <w:rsid w:val="00B23BE5"/>
    <w:rsid w:val="00B248DF"/>
    <w:rsid w:val="00B24C76"/>
    <w:rsid w:val="00B25ADD"/>
    <w:rsid w:val="00B25B63"/>
    <w:rsid w:val="00B2704D"/>
    <w:rsid w:val="00B30CD4"/>
    <w:rsid w:val="00B31068"/>
    <w:rsid w:val="00B31BF7"/>
    <w:rsid w:val="00B32A21"/>
    <w:rsid w:val="00B33A0B"/>
    <w:rsid w:val="00B3536A"/>
    <w:rsid w:val="00B35947"/>
    <w:rsid w:val="00B35ACB"/>
    <w:rsid w:val="00B36322"/>
    <w:rsid w:val="00B3716D"/>
    <w:rsid w:val="00B43D3D"/>
    <w:rsid w:val="00B577A0"/>
    <w:rsid w:val="00B64E7B"/>
    <w:rsid w:val="00B65B53"/>
    <w:rsid w:val="00B672E6"/>
    <w:rsid w:val="00B70B8D"/>
    <w:rsid w:val="00B764D9"/>
    <w:rsid w:val="00B77078"/>
    <w:rsid w:val="00B80558"/>
    <w:rsid w:val="00B8111F"/>
    <w:rsid w:val="00B81605"/>
    <w:rsid w:val="00B82B08"/>
    <w:rsid w:val="00B82EE5"/>
    <w:rsid w:val="00B8360F"/>
    <w:rsid w:val="00B836B6"/>
    <w:rsid w:val="00B845C1"/>
    <w:rsid w:val="00B8486B"/>
    <w:rsid w:val="00B87A6D"/>
    <w:rsid w:val="00B915A9"/>
    <w:rsid w:val="00B92E9D"/>
    <w:rsid w:val="00B95781"/>
    <w:rsid w:val="00B95D0D"/>
    <w:rsid w:val="00B96A58"/>
    <w:rsid w:val="00B96FE1"/>
    <w:rsid w:val="00B97EDC"/>
    <w:rsid w:val="00BA20B3"/>
    <w:rsid w:val="00BA27C6"/>
    <w:rsid w:val="00BA7171"/>
    <w:rsid w:val="00BB14DA"/>
    <w:rsid w:val="00BB14EC"/>
    <w:rsid w:val="00BB1743"/>
    <w:rsid w:val="00BB5305"/>
    <w:rsid w:val="00BB5E90"/>
    <w:rsid w:val="00BB6400"/>
    <w:rsid w:val="00BB7369"/>
    <w:rsid w:val="00BC2B39"/>
    <w:rsid w:val="00BC3E01"/>
    <w:rsid w:val="00BD1342"/>
    <w:rsid w:val="00BD3FAF"/>
    <w:rsid w:val="00BD4C58"/>
    <w:rsid w:val="00BD55CD"/>
    <w:rsid w:val="00BD6ADD"/>
    <w:rsid w:val="00BD7FB5"/>
    <w:rsid w:val="00BE0366"/>
    <w:rsid w:val="00BE21D6"/>
    <w:rsid w:val="00BE5222"/>
    <w:rsid w:val="00BF21C4"/>
    <w:rsid w:val="00BF3A33"/>
    <w:rsid w:val="00BF44D8"/>
    <w:rsid w:val="00BF4F96"/>
    <w:rsid w:val="00BF7CC9"/>
    <w:rsid w:val="00C06624"/>
    <w:rsid w:val="00C069CB"/>
    <w:rsid w:val="00C07779"/>
    <w:rsid w:val="00C10A76"/>
    <w:rsid w:val="00C14EFE"/>
    <w:rsid w:val="00C17478"/>
    <w:rsid w:val="00C2031B"/>
    <w:rsid w:val="00C2324B"/>
    <w:rsid w:val="00C24179"/>
    <w:rsid w:val="00C2544C"/>
    <w:rsid w:val="00C31B39"/>
    <w:rsid w:val="00C33479"/>
    <w:rsid w:val="00C3347B"/>
    <w:rsid w:val="00C341D4"/>
    <w:rsid w:val="00C346F5"/>
    <w:rsid w:val="00C36975"/>
    <w:rsid w:val="00C419D1"/>
    <w:rsid w:val="00C42719"/>
    <w:rsid w:val="00C43CA7"/>
    <w:rsid w:val="00C441F7"/>
    <w:rsid w:val="00C443B1"/>
    <w:rsid w:val="00C450EC"/>
    <w:rsid w:val="00C45476"/>
    <w:rsid w:val="00C52F07"/>
    <w:rsid w:val="00C5360C"/>
    <w:rsid w:val="00C54972"/>
    <w:rsid w:val="00C57729"/>
    <w:rsid w:val="00C619C3"/>
    <w:rsid w:val="00C63ED8"/>
    <w:rsid w:val="00C648AE"/>
    <w:rsid w:val="00C655EA"/>
    <w:rsid w:val="00C66680"/>
    <w:rsid w:val="00C6728C"/>
    <w:rsid w:val="00C678B7"/>
    <w:rsid w:val="00C67A56"/>
    <w:rsid w:val="00C712C7"/>
    <w:rsid w:val="00C71423"/>
    <w:rsid w:val="00C71FC4"/>
    <w:rsid w:val="00C75A0E"/>
    <w:rsid w:val="00C80893"/>
    <w:rsid w:val="00C83FCC"/>
    <w:rsid w:val="00C8448A"/>
    <w:rsid w:val="00C851FD"/>
    <w:rsid w:val="00C91101"/>
    <w:rsid w:val="00C91767"/>
    <w:rsid w:val="00C94448"/>
    <w:rsid w:val="00C977A2"/>
    <w:rsid w:val="00CA062B"/>
    <w:rsid w:val="00CA1F66"/>
    <w:rsid w:val="00CA31A8"/>
    <w:rsid w:val="00CA4501"/>
    <w:rsid w:val="00CA4BC9"/>
    <w:rsid w:val="00CA63CC"/>
    <w:rsid w:val="00CA7AAB"/>
    <w:rsid w:val="00CB21F2"/>
    <w:rsid w:val="00CB27AE"/>
    <w:rsid w:val="00CB39D1"/>
    <w:rsid w:val="00CB65A3"/>
    <w:rsid w:val="00CB6AD1"/>
    <w:rsid w:val="00CC0FCE"/>
    <w:rsid w:val="00CD0E37"/>
    <w:rsid w:val="00CD21C1"/>
    <w:rsid w:val="00CD2735"/>
    <w:rsid w:val="00CD3446"/>
    <w:rsid w:val="00CD3454"/>
    <w:rsid w:val="00CD3596"/>
    <w:rsid w:val="00CD58C3"/>
    <w:rsid w:val="00CD7617"/>
    <w:rsid w:val="00CE04BD"/>
    <w:rsid w:val="00CE1EB2"/>
    <w:rsid w:val="00CE2628"/>
    <w:rsid w:val="00CE3E10"/>
    <w:rsid w:val="00CE4451"/>
    <w:rsid w:val="00CE599F"/>
    <w:rsid w:val="00CE6622"/>
    <w:rsid w:val="00CE7C7F"/>
    <w:rsid w:val="00CF0230"/>
    <w:rsid w:val="00CF0618"/>
    <w:rsid w:val="00CF0E94"/>
    <w:rsid w:val="00CF14F4"/>
    <w:rsid w:val="00CF2EA0"/>
    <w:rsid w:val="00CF2EDD"/>
    <w:rsid w:val="00CF53BC"/>
    <w:rsid w:val="00CF6608"/>
    <w:rsid w:val="00D00F87"/>
    <w:rsid w:val="00D019BE"/>
    <w:rsid w:val="00D023BF"/>
    <w:rsid w:val="00D03FFA"/>
    <w:rsid w:val="00D041ED"/>
    <w:rsid w:val="00D06EC8"/>
    <w:rsid w:val="00D0786C"/>
    <w:rsid w:val="00D10344"/>
    <w:rsid w:val="00D10D80"/>
    <w:rsid w:val="00D115D7"/>
    <w:rsid w:val="00D11DD1"/>
    <w:rsid w:val="00D12CEE"/>
    <w:rsid w:val="00D15448"/>
    <w:rsid w:val="00D15CB4"/>
    <w:rsid w:val="00D17FDB"/>
    <w:rsid w:val="00D20AC5"/>
    <w:rsid w:val="00D212D2"/>
    <w:rsid w:val="00D21D26"/>
    <w:rsid w:val="00D23721"/>
    <w:rsid w:val="00D25DA8"/>
    <w:rsid w:val="00D2692C"/>
    <w:rsid w:val="00D33940"/>
    <w:rsid w:val="00D3570D"/>
    <w:rsid w:val="00D40B3C"/>
    <w:rsid w:val="00D47737"/>
    <w:rsid w:val="00D47E48"/>
    <w:rsid w:val="00D47ECA"/>
    <w:rsid w:val="00D47F26"/>
    <w:rsid w:val="00D50B19"/>
    <w:rsid w:val="00D51602"/>
    <w:rsid w:val="00D53209"/>
    <w:rsid w:val="00D53C17"/>
    <w:rsid w:val="00D55AE7"/>
    <w:rsid w:val="00D601CA"/>
    <w:rsid w:val="00D61022"/>
    <w:rsid w:val="00D6155E"/>
    <w:rsid w:val="00D62920"/>
    <w:rsid w:val="00D63E12"/>
    <w:rsid w:val="00D70EF6"/>
    <w:rsid w:val="00D72149"/>
    <w:rsid w:val="00D732A5"/>
    <w:rsid w:val="00D73893"/>
    <w:rsid w:val="00D7695E"/>
    <w:rsid w:val="00D80C3D"/>
    <w:rsid w:val="00D82B42"/>
    <w:rsid w:val="00D839A6"/>
    <w:rsid w:val="00D84162"/>
    <w:rsid w:val="00D8788D"/>
    <w:rsid w:val="00D9080C"/>
    <w:rsid w:val="00D91094"/>
    <w:rsid w:val="00D9295C"/>
    <w:rsid w:val="00D95F21"/>
    <w:rsid w:val="00D969C7"/>
    <w:rsid w:val="00DA034D"/>
    <w:rsid w:val="00DA098C"/>
    <w:rsid w:val="00DA31E6"/>
    <w:rsid w:val="00DA31FF"/>
    <w:rsid w:val="00DA3F74"/>
    <w:rsid w:val="00DA495B"/>
    <w:rsid w:val="00DA57FF"/>
    <w:rsid w:val="00DA610A"/>
    <w:rsid w:val="00DA7C21"/>
    <w:rsid w:val="00DB119A"/>
    <w:rsid w:val="00DB6E6E"/>
    <w:rsid w:val="00DB7BDE"/>
    <w:rsid w:val="00DC2636"/>
    <w:rsid w:val="00DC53FB"/>
    <w:rsid w:val="00DD2993"/>
    <w:rsid w:val="00DD4D1B"/>
    <w:rsid w:val="00DD5EA0"/>
    <w:rsid w:val="00DD6B5A"/>
    <w:rsid w:val="00DD7D25"/>
    <w:rsid w:val="00DD7F51"/>
    <w:rsid w:val="00DE121E"/>
    <w:rsid w:val="00DE167D"/>
    <w:rsid w:val="00DE1778"/>
    <w:rsid w:val="00DE1A13"/>
    <w:rsid w:val="00DE1C84"/>
    <w:rsid w:val="00DE240A"/>
    <w:rsid w:val="00DE2ED8"/>
    <w:rsid w:val="00DE6858"/>
    <w:rsid w:val="00DE6A09"/>
    <w:rsid w:val="00DF24AA"/>
    <w:rsid w:val="00DF722F"/>
    <w:rsid w:val="00E001CF"/>
    <w:rsid w:val="00E03CF0"/>
    <w:rsid w:val="00E11D60"/>
    <w:rsid w:val="00E129F6"/>
    <w:rsid w:val="00E17245"/>
    <w:rsid w:val="00E211BF"/>
    <w:rsid w:val="00E21BCB"/>
    <w:rsid w:val="00E22774"/>
    <w:rsid w:val="00E259AA"/>
    <w:rsid w:val="00E25DE7"/>
    <w:rsid w:val="00E30F2F"/>
    <w:rsid w:val="00E31040"/>
    <w:rsid w:val="00E329DE"/>
    <w:rsid w:val="00E32B91"/>
    <w:rsid w:val="00E41A65"/>
    <w:rsid w:val="00E41F0A"/>
    <w:rsid w:val="00E443EB"/>
    <w:rsid w:val="00E47D79"/>
    <w:rsid w:val="00E50364"/>
    <w:rsid w:val="00E506AD"/>
    <w:rsid w:val="00E51BF6"/>
    <w:rsid w:val="00E51EB6"/>
    <w:rsid w:val="00E520C8"/>
    <w:rsid w:val="00E53B22"/>
    <w:rsid w:val="00E553BB"/>
    <w:rsid w:val="00E57792"/>
    <w:rsid w:val="00E63CFC"/>
    <w:rsid w:val="00E643B7"/>
    <w:rsid w:val="00E64992"/>
    <w:rsid w:val="00E65830"/>
    <w:rsid w:val="00E7068E"/>
    <w:rsid w:val="00E72C82"/>
    <w:rsid w:val="00E73D12"/>
    <w:rsid w:val="00E74769"/>
    <w:rsid w:val="00E774CA"/>
    <w:rsid w:val="00E8084A"/>
    <w:rsid w:val="00E81A35"/>
    <w:rsid w:val="00E828F8"/>
    <w:rsid w:val="00E832ED"/>
    <w:rsid w:val="00E838AD"/>
    <w:rsid w:val="00E841D8"/>
    <w:rsid w:val="00E9160E"/>
    <w:rsid w:val="00E91B19"/>
    <w:rsid w:val="00E92276"/>
    <w:rsid w:val="00E945BC"/>
    <w:rsid w:val="00E96251"/>
    <w:rsid w:val="00E9642F"/>
    <w:rsid w:val="00EA00AB"/>
    <w:rsid w:val="00EA1051"/>
    <w:rsid w:val="00EA1E4D"/>
    <w:rsid w:val="00EA23C0"/>
    <w:rsid w:val="00EA266C"/>
    <w:rsid w:val="00EA3695"/>
    <w:rsid w:val="00EA5BB8"/>
    <w:rsid w:val="00EA5F6F"/>
    <w:rsid w:val="00EA6160"/>
    <w:rsid w:val="00EB1054"/>
    <w:rsid w:val="00EB28C5"/>
    <w:rsid w:val="00EB2EB2"/>
    <w:rsid w:val="00EB3674"/>
    <w:rsid w:val="00EB3843"/>
    <w:rsid w:val="00EB49B8"/>
    <w:rsid w:val="00EB54C8"/>
    <w:rsid w:val="00EB7536"/>
    <w:rsid w:val="00EB7578"/>
    <w:rsid w:val="00EB7E5C"/>
    <w:rsid w:val="00EC4722"/>
    <w:rsid w:val="00EC4B50"/>
    <w:rsid w:val="00EC6758"/>
    <w:rsid w:val="00EC7B56"/>
    <w:rsid w:val="00ED093A"/>
    <w:rsid w:val="00ED1369"/>
    <w:rsid w:val="00ED18D7"/>
    <w:rsid w:val="00ED1B7E"/>
    <w:rsid w:val="00ED6592"/>
    <w:rsid w:val="00ED6FB4"/>
    <w:rsid w:val="00EE0617"/>
    <w:rsid w:val="00EE0C5E"/>
    <w:rsid w:val="00EE1956"/>
    <w:rsid w:val="00EE4A2C"/>
    <w:rsid w:val="00EE4FAE"/>
    <w:rsid w:val="00EE5808"/>
    <w:rsid w:val="00EF0371"/>
    <w:rsid w:val="00EF0C68"/>
    <w:rsid w:val="00EF2296"/>
    <w:rsid w:val="00EF2F23"/>
    <w:rsid w:val="00EF6011"/>
    <w:rsid w:val="00EF65FB"/>
    <w:rsid w:val="00F0240E"/>
    <w:rsid w:val="00F06BFC"/>
    <w:rsid w:val="00F07186"/>
    <w:rsid w:val="00F074E5"/>
    <w:rsid w:val="00F07BA6"/>
    <w:rsid w:val="00F1103A"/>
    <w:rsid w:val="00F12698"/>
    <w:rsid w:val="00F1323C"/>
    <w:rsid w:val="00F148FF"/>
    <w:rsid w:val="00F157FC"/>
    <w:rsid w:val="00F21211"/>
    <w:rsid w:val="00F2336E"/>
    <w:rsid w:val="00F244F0"/>
    <w:rsid w:val="00F25344"/>
    <w:rsid w:val="00F26788"/>
    <w:rsid w:val="00F30CA7"/>
    <w:rsid w:val="00F34D5B"/>
    <w:rsid w:val="00F36188"/>
    <w:rsid w:val="00F409C0"/>
    <w:rsid w:val="00F42062"/>
    <w:rsid w:val="00F44991"/>
    <w:rsid w:val="00F453D7"/>
    <w:rsid w:val="00F45B67"/>
    <w:rsid w:val="00F51B39"/>
    <w:rsid w:val="00F525A7"/>
    <w:rsid w:val="00F52E7E"/>
    <w:rsid w:val="00F55C12"/>
    <w:rsid w:val="00F569DD"/>
    <w:rsid w:val="00F60B5B"/>
    <w:rsid w:val="00F6204F"/>
    <w:rsid w:val="00F64F24"/>
    <w:rsid w:val="00F65A8A"/>
    <w:rsid w:val="00F66086"/>
    <w:rsid w:val="00F665F1"/>
    <w:rsid w:val="00F672B5"/>
    <w:rsid w:val="00F706A3"/>
    <w:rsid w:val="00F70893"/>
    <w:rsid w:val="00F73874"/>
    <w:rsid w:val="00F74453"/>
    <w:rsid w:val="00F758E8"/>
    <w:rsid w:val="00F80571"/>
    <w:rsid w:val="00F81B89"/>
    <w:rsid w:val="00F81BA4"/>
    <w:rsid w:val="00F85AC1"/>
    <w:rsid w:val="00F86863"/>
    <w:rsid w:val="00F92474"/>
    <w:rsid w:val="00F9255A"/>
    <w:rsid w:val="00F92FBE"/>
    <w:rsid w:val="00F9445A"/>
    <w:rsid w:val="00F9548D"/>
    <w:rsid w:val="00F96249"/>
    <w:rsid w:val="00F96A5D"/>
    <w:rsid w:val="00FA200F"/>
    <w:rsid w:val="00FA3F9D"/>
    <w:rsid w:val="00FA44BF"/>
    <w:rsid w:val="00FA7083"/>
    <w:rsid w:val="00FA76D6"/>
    <w:rsid w:val="00FB0286"/>
    <w:rsid w:val="00FB172F"/>
    <w:rsid w:val="00FB3152"/>
    <w:rsid w:val="00FB4E34"/>
    <w:rsid w:val="00FB557F"/>
    <w:rsid w:val="00FB6975"/>
    <w:rsid w:val="00FB6A4A"/>
    <w:rsid w:val="00FB6C2D"/>
    <w:rsid w:val="00FC177A"/>
    <w:rsid w:val="00FC222F"/>
    <w:rsid w:val="00FC2AD8"/>
    <w:rsid w:val="00FC3297"/>
    <w:rsid w:val="00FC6A19"/>
    <w:rsid w:val="00FC6EDB"/>
    <w:rsid w:val="00FC7F3D"/>
    <w:rsid w:val="00FD0C13"/>
    <w:rsid w:val="00FD21B0"/>
    <w:rsid w:val="00FD3E63"/>
    <w:rsid w:val="00FD5BF4"/>
    <w:rsid w:val="00FE1B39"/>
    <w:rsid w:val="00FE2926"/>
    <w:rsid w:val="00FE38C8"/>
    <w:rsid w:val="00FE3935"/>
    <w:rsid w:val="00FE5F47"/>
    <w:rsid w:val="00FF0EC9"/>
    <w:rsid w:val="00FF131C"/>
    <w:rsid w:val="00FF6003"/>
    <w:rsid w:val="00FF7D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E58F3"/>
  <w15:docId w15:val="{2F261A49-2A3A-4FD3-95B2-3D364B1FD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CA"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61E"/>
    <w:pPr>
      <w:spacing w:before="240" w:after="240" w:line="276" w:lineRule="auto"/>
    </w:pPr>
    <w:rPr>
      <w:rFonts w:ascii="Arial" w:eastAsiaTheme="minorEastAsia" w:hAnsi="Arial"/>
      <w:sz w:val="26"/>
      <w:szCs w:val="24"/>
      <w:lang w:val="en-AU"/>
    </w:rPr>
  </w:style>
  <w:style w:type="paragraph" w:styleId="Heading1">
    <w:name w:val="heading 1"/>
    <w:basedOn w:val="Normal"/>
    <w:link w:val="Heading1Char"/>
    <w:uiPriority w:val="9"/>
    <w:qFormat/>
    <w:pPr>
      <w:spacing w:after="90"/>
      <w:outlineLvl w:val="0"/>
    </w:pPr>
    <w:rPr>
      <w:b/>
      <w:bCs/>
      <w:kern w:val="36"/>
      <w:sz w:val="48"/>
      <w:szCs w:val="48"/>
    </w:rPr>
  </w:style>
  <w:style w:type="paragraph" w:styleId="Heading2">
    <w:name w:val="heading 2"/>
    <w:basedOn w:val="Normal"/>
    <w:link w:val="Heading2Char"/>
    <w:uiPriority w:val="9"/>
    <w:unhideWhenUsed/>
    <w:qFormat/>
    <w:pPr>
      <w:spacing w:after="90"/>
      <w:outlineLvl w:val="1"/>
    </w:pPr>
    <w:rPr>
      <w:b/>
      <w:bCs/>
      <w:sz w:val="36"/>
      <w:szCs w:val="36"/>
    </w:rPr>
  </w:style>
  <w:style w:type="paragraph" w:styleId="Heading3">
    <w:name w:val="heading 3"/>
    <w:basedOn w:val="Normal"/>
    <w:link w:val="Heading3Char"/>
    <w:uiPriority w:val="9"/>
    <w:unhideWhenUsed/>
    <w:qFormat/>
    <w:rsid w:val="00D7480A"/>
    <w:pPr>
      <w:spacing w:after="90"/>
      <w:outlineLvl w:val="2"/>
    </w:pPr>
    <w:rPr>
      <w:b/>
      <w:bCs/>
      <w:i/>
      <w:iCs/>
      <w:sz w:val="32"/>
      <w:szCs w:val="36"/>
    </w:rPr>
  </w:style>
  <w:style w:type="paragraph" w:styleId="Heading4">
    <w:name w:val="heading 4"/>
    <w:basedOn w:val="Normal"/>
    <w:link w:val="Heading4Char"/>
    <w:uiPriority w:val="9"/>
    <w:unhideWhenUsed/>
    <w:qFormat/>
    <w:rsid w:val="00F97B01"/>
    <w:pPr>
      <w:shd w:val="clear" w:color="auto" w:fill="FFFFFF" w:themeFill="background1"/>
      <w:spacing w:after="90"/>
      <w:outlineLvl w:val="3"/>
    </w:pPr>
    <w:rPr>
      <w:rFonts w:asciiTheme="minorHAnsi" w:eastAsia="Times New Roman" w:hAnsiTheme="minorHAnsi" w:cstheme="minorHAnsi"/>
      <w:i/>
      <w:szCs w:val="36"/>
    </w:rPr>
  </w:style>
  <w:style w:type="paragraph" w:styleId="Heading5">
    <w:name w:val="heading 5"/>
    <w:basedOn w:val="Normal"/>
    <w:link w:val="Heading5Char"/>
    <w:uiPriority w:val="9"/>
    <w:unhideWhenUsed/>
    <w:qFormat/>
    <w:rsid w:val="00F97B01"/>
    <w:pPr>
      <w:shd w:val="clear" w:color="auto" w:fill="E7E6E6" w:themeFill="background2"/>
      <w:spacing w:after="90"/>
      <w:outlineLvl w:val="4"/>
    </w:pPr>
    <w:rPr>
      <w:bCs/>
      <w:i/>
      <w:sz w:val="22"/>
      <w:szCs w:val="27"/>
    </w:rPr>
  </w:style>
  <w:style w:type="paragraph" w:styleId="Heading6">
    <w:name w:val="heading 6"/>
    <w:basedOn w:val="Normal"/>
    <w:link w:val="Heading6Char"/>
    <w:uiPriority w:val="9"/>
    <w:unhideWhenUsed/>
    <w:qFormat/>
    <w:pPr>
      <w:spacing w:after="90"/>
      <w:outlineLvl w:val="5"/>
    </w:pPr>
    <w:rPr>
      <w:i/>
      <w:i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7480A"/>
    <w:rPr>
      <w:rFonts w:eastAsiaTheme="minorEastAsia"/>
      <w:b/>
      <w:bCs/>
      <w:i/>
      <w:iCs/>
      <w:sz w:val="32"/>
      <w:szCs w:val="36"/>
    </w:rPr>
  </w:style>
  <w:style w:type="character" w:customStyle="1" w:styleId="Heading4Char">
    <w:name w:val="Heading 4 Char"/>
    <w:basedOn w:val="DefaultParagraphFont"/>
    <w:link w:val="Heading4"/>
    <w:uiPriority w:val="9"/>
    <w:rsid w:val="00F97B01"/>
    <w:rPr>
      <w:rFonts w:asciiTheme="minorHAnsi" w:hAnsiTheme="minorHAnsi" w:cstheme="minorHAnsi"/>
      <w:i/>
      <w:sz w:val="24"/>
      <w:szCs w:val="36"/>
      <w:shd w:val="clear" w:color="auto" w:fill="FFFFFF" w:themeFill="background1"/>
    </w:rPr>
  </w:style>
  <w:style w:type="character" w:customStyle="1" w:styleId="Heading5Char">
    <w:name w:val="Heading 5 Char"/>
    <w:basedOn w:val="DefaultParagraphFont"/>
    <w:link w:val="Heading5"/>
    <w:uiPriority w:val="9"/>
    <w:rsid w:val="00F97B01"/>
    <w:rPr>
      <w:rFonts w:eastAsiaTheme="minorEastAsia"/>
      <w:bCs/>
      <w:i/>
      <w:sz w:val="22"/>
      <w:szCs w:val="27"/>
      <w:shd w:val="clear" w:color="auto" w:fill="E7E6E6" w:themeFill="background2"/>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pPr>
      <w:spacing w:after="120"/>
    </w:pPr>
  </w:style>
  <w:style w:type="paragraph" w:customStyle="1" w:styleId="editable">
    <w:name w:val="editable"/>
    <w:basedOn w:val="Normal"/>
    <w:pPr>
      <w:shd w:val="clear" w:color="auto" w:fill="FFFFFF"/>
      <w:spacing w:after="120"/>
    </w:pPr>
  </w:style>
  <w:style w:type="paragraph" w:customStyle="1" w:styleId="fixedbody">
    <w:name w:val="fixedbody"/>
    <w:basedOn w:val="Normal"/>
    <w:pPr>
      <w:shd w:val="clear" w:color="auto" w:fill="E0E0E0"/>
      <w:spacing w:after="120"/>
    </w:pPr>
  </w:style>
  <w:style w:type="paragraph" w:customStyle="1" w:styleId="fixedtext">
    <w:name w:val="fixedtext"/>
    <w:basedOn w:val="Normal"/>
    <w:pPr>
      <w:spacing w:after="120"/>
    </w:pPr>
    <w:rPr>
      <w:color w:val="0066CC"/>
    </w:rPr>
  </w:style>
  <w:style w:type="paragraph" w:customStyle="1" w:styleId="fixedcell">
    <w:name w:val="fixedcell"/>
    <w:basedOn w:val="Normal"/>
    <w:pPr>
      <w:shd w:val="clear" w:color="auto" w:fill="E0E0E0"/>
      <w:spacing w:after="120"/>
    </w:pPr>
    <w:rPr>
      <w:color w:val="0066CC"/>
    </w:rPr>
  </w:style>
  <w:style w:type="paragraph" w:customStyle="1" w:styleId="marker">
    <w:name w:val="marker"/>
    <w:basedOn w:val="Normal"/>
    <w:pPr>
      <w:shd w:val="clear" w:color="auto" w:fill="FFFF00"/>
      <w:spacing w:after="120"/>
    </w:pPr>
  </w:style>
  <w:style w:type="paragraph" w:customStyle="1" w:styleId="inserted">
    <w:name w:val="inserted"/>
    <w:basedOn w:val="Normal"/>
    <w:pPr>
      <w:spacing w:after="120"/>
    </w:pPr>
    <w:rPr>
      <w:color w:val="008000"/>
      <w:u w:val="single"/>
    </w:rPr>
  </w:style>
  <w:style w:type="paragraph" w:customStyle="1" w:styleId="deleted">
    <w:name w:val="deleted"/>
    <w:basedOn w:val="Normal"/>
    <w:pPr>
      <w:spacing w:after="120"/>
    </w:pPr>
    <w:rPr>
      <w:strike/>
      <w:color w:val="FF0000"/>
    </w:rPr>
  </w:style>
  <w:style w:type="paragraph" w:customStyle="1" w:styleId="insertedmarker">
    <w:name w:val="insertedmarker"/>
    <w:basedOn w:val="Normal"/>
    <w:pPr>
      <w:shd w:val="clear" w:color="auto" w:fill="FFFF00"/>
      <w:spacing w:after="120"/>
    </w:pPr>
    <w:rPr>
      <w:color w:val="008000"/>
      <w:u w:val="single"/>
    </w:rPr>
  </w:style>
  <w:style w:type="paragraph" w:customStyle="1" w:styleId="deletedmarker">
    <w:name w:val="deletedmarker"/>
    <w:basedOn w:val="Normal"/>
    <w:pPr>
      <w:shd w:val="clear" w:color="auto" w:fill="FFFF00"/>
      <w:spacing w:after="120"/>
    </w:pPr>
    <w:rPr>
      <w:strike/>
      <w:color w:val="FF0000"/>
    </w:rPr>
  </w:style>
  <w:style w:type="paragraph" w:customStyle="1" w:styleId="note">
    <w:name w:val="note"/>
    <w:basedOn w:val="Normal"/>
    <w:pPr>
      <w:shd w:val="clear" w:color="auto" w:fill="FFFFC0"/>
      <w:spacing w:after="120"/>
    </w:pPr>
  </w:style>
  <w:style w:type="paragraph" w:customStyle="1" w:styleId="coversheet">
    <w:name w:val="coversheet"/>
    <w:basedOn w:val="Normal"/>
    <w:pPr>
      <w:shd w:val="clear" w:color="auto" w:fill="F0F0F0"/>
      <w:spacing w:after="120"/>
    </w:pPr>
  </w:style>
  <w:style w:type="paragraph" w:customStyle="1" w:styleId="unpublished">
    <w:name w:val="unpublished"/>
    <w:basedOn w:val="Normal"/>
    <w:pPr>
      <w:spacing w:after="120"/>
    </w:pPr>
    <w:rPr>
      <w:color w:val="808080"/>
    </w:rPr>
  </w:style>
  <w:style w:type="paragraph" w:customStyle="1" w:styleId="unpublishedcell">
    <w:name w:val="unpublishedcell"/>
    <w:basedOn w:val="Normal"/>
    <w:pPr>
      <w:shd w:val="clear" w:color="auto" w:fill="E0E0E0"/>
      <w:spacing w:after="120"/>
    </w:pPr>
  </w:style>
  <w:style w:type="paragraph" w:customStyle="1" w:styleId="separator">
    <w:name w:val="separator"/>
    <w:basedOn w:val="Normal"/>
    <w:pPr>
      <w:spacing w:after="120"/>
    </w:pPr>
    <w:rPr>
      <w:sz w:val="2"/>
      <w:szCs w:val="2"/>
    </w:rPr>
  </w:style>
  <w:style w:type="paragraph" w:customStyle="1" w:styleId="selected">
    <w:name w:val="selected"/>
    <w:basedOn w:val="Normal"/>
    <w:pPr>
      <w:shd w:val="clear" w:color="auto" w:fill="B8CFE5"/>
      <w:spacing w:after="120"/>
    </w:pPr>
    <w:rPr>
      <w:color w:val="333333"/>
    </w:rPr>
  </w:style>
  <w:style w:type="paragraph" w:customStyle="1" w:styleId="selectedfixedcell">
    <w:name w:val="selectedfixedcell"/>
    <w:basedOn w:val="Normal"/>
    <w:pPr>
      <w:shd w:val="clear" w:color="auto" w:fill="B8CFE5"/>
      <w:spacing w:after="120"/>
    </w:pPr>
    <w:rPr>
      <w:color w:val="333333"/>
    </w:rPr>
  </w:style>
  <w:style w:type="paragraph" w:customStyle="1" w:styleId="selectedunpublishedcell">
    <w:name w:val="selectedunpublishedcell"/>
    <w:basedOn w:val="Normal"/>
    <w:pPr>
      <w:shd w:val="clear" w:color="auto" w:fill="B8CFE5"/>
      <w:spacing w:after="120"/>
    </w:pPr>
    <w:rPr>
      <w:color w:val="333333"/>
    </w:rPr>
  </w:style>
  <w:style w:type="character" w:customStyle="1" w:styleId="fixedtext1">
    <w:name w:val="fixedtext1"/>
    <w:basedOn w:val="DefaultParagraphFont"/>
    <w:rPr>
      <w:color w:val="0066CC"/>
    </w:rPr>
  </w:style>
  <w:style w:type="character" w:customStyle="1" w:styleId="marker1">
    <w:name w:val="marker1"/>
    <w:basedOn w:val="DefaultParagraphFont"/>
    <w:rPr>
      <w:shd w:val="clear" w:color="auto" w:fill="FFFF00"/>
    </w:rPr>
  </w:style>
  <w:style w:type="character" w:styleId="Hyperlink">
    <w:name w:val="Hyperlink"/>
    <w:basedOn w:val="DefaultParagraphFont"/>
    <w:uiPriority w:val="99"/>
    <w:unhideWhenUsed/>
    <w:rsid w:val="00CE7F7A"/>
    <w:rPr>
      <w:color w:val="0563C1" w:themeColor="hyperlink"/>
      <w:u w:val="single"/>
    </w:rPr>
  </w:style>
  <w:style w:type="character" w:customStyle="1" w:styleId="UnresolvedMention1">
    <w:name w:val="Unresolved Mention1"/>
    <w:basedOn w:val="DefaultParagraphFont"/>
    <w:uiPriority w:val="99"/>
    <w:semiHidden/>
    <w:unhideWhenUsed/>
    <w:rsid w:val="00CE7F7A"/>
    <w:rPr>
      <w:color w:val="605E5C"/>
      <w:shd w:val="clear" w:color="auto" w:fill="E1DFDD"/>
    </w:rPr>
  </w:style>
  <w:style w:type="table" w:styleId="TableGrid">
    <w:name w:val="Table Grid"/>
    <w:basedOn w:val="TableNormal"/>
    <w:uiPriority w:val="39"/>
    <w:rsid w:val="00296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7480A"/>
    <w:rPr>
      <w:color w:val="808080"/>
    </w:rPr>
  </w:style>
  <w:style w:type="paragraph" w:styleId="Revision">
    <w:name w:val="Revision"/>
    <w:hidden/>
    <w:uiPriority w:val="99"/>
    <w:semiHidden/>
    <w:rsid w:val="00472CA9"/>
    <w:rPr>
      <w:rFonts w:eastAsiaTheme="minorEastAsia"/>
      <w:sz w:val="24"/>
      <w:szCs w:val="24"/>
    </w:rPr>
  </w:style>
  <w:style w:type="character" w:styleId="UnresolvedMention">
    <w:name w:val="Unresolved Mention"/>
    <w:basedOn w:val="DefaultParagraphFont"/>
    <w:uiPriority w:val="99"/>
    <w:semiHidden/>
    <w:unhideWhenUsed/>
    <w:rsid w:val="00171B7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paragraph" w:styleId="ListParagraph">
    <w:name w:val="List Paragraph"/>
    <w:basedOn w:val="Normal"/>
    <w:uiPriority w:val="34"/>
    <w:qFormat/>
    <w:rsid w:val="003B0783"/>
    <w:pPr>
      <w:ind w:left="720"/>
      <w:contextualSpacing/>
    </w:pPr>
  </w:style>
  <w:style w:type="paragraph" w:styleId="Header">
    <w:name w:val="header"/>
    <w:basedOn w:val="Normal"/>
    <w:link w:val="HeaderChar"/>
    <w:uiPriority w:val="99"/>
    <w:unhideWhenUsed/>
    <w:rsid w:val="00721D5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21D59"/>
    <w:rPr>
      <w:rFonts w:ascii="Arial" w:eastAsiaTheme="minorEastAsia" w:hAnsi="Arial"/>
      <w:sz w:val="28"/>
      <w:szCs w:val="24"/>
    </w:rPr>
  </w:style>
  <w:style w:type="paragraph" w:styleId="Footer">
    <w:name w:val="footer"/>
    <w:basedOn w:val="Normal"/>
    <w:link w:val="FooterChar"/>
    <w:uiPriority w:val="99"/>
    <w:unhideWhenUsed/>
    <w:rsid w:val="00721D5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21D59"/>
    <w:rPr>
      <w:rFonts w:ascii="Arial" w:eastAsiaTheme="minorEastAsia" w:hAnsi="Arial"/>
      <w:sz w:val="28"/>
      <w:szCs w:val="24"/>
    </w:rPr>
  </w:style>
  <w:style w:type="character" w:styleId="FollowedHyperlink">
    <w:name w:val="FollowedHyperlink"/>
    <w:basedOn w:val="DefaultParagraphFont"/>
    <w:uiPriority w:val="99"/>
    <w:semiHidden/>
    <w:unhideWhenUsed/>
    <w:rsid w:val="004E4662"/>
    <w:rPr>
      <w:color w:val="954F72" w:themeColor="followedHyperlink"/>
      <w:u w:val="single"/>
    </w:rPr>
  </w:style>
  <w:style w:type="table" w:customStyle="1" w:styleId="TableGrid1">
    <w:name w:val="Table Grid1"/>
    <w:basedOn w:val="TableNormal"/>
    <w:next w:val="TableGrid"/>
    <w:uiPriority w:val="39"/>
    <w:rsid w:val="0045400E"/>
    <w:rPr>
      <w:rFonts w:ascii="Aptos" w:eastAsia="Aptos" w:hAnsi="Aptos" w:cs="Times New Roman"/>
      <w:kern w:val="2"/>
      <w:lang w:val="en-AU"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3199F"/>
    <w:rPr>
      <w:rFonts w:ascii="Aptos" w:eastAsia="Aptos" w:hAnsi="Aptos" w:cs="Times New Roman"/>
      <w:kern w:val="2"/>
      <w:lang w:val="en-AU"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D1B7E"/>
    <w:rPr>
      <w:sz w:val="16"/>
      <w:szCs w:val="16"/>
    </w:rPr>
  </w:style>
  <w:style w:type="paragraph" w:styleId="CommentText">
    <w:name w:val="annotation text"/>
    <w:basedOn w:val="Normal"/>
    <w:link w:val="CommentTextChar"/>
    <w:uiPriority w:val="99"/>
    <w:unhideWhenUsed/>
    <w:rsid w:val="00ED1B7E"/>
    <w:pPr>
      <w:spacing w:line="240" w:lineRule="auto"/>
    </w:pPr>
    <w:rPr>
      <w:sz w:val="20"/>
      <w:szCs w:val="20"/>
    </w:rPr>
  </w:style>
  <w:style w:type="character" w:customStyle="1" w:styleId="CommentTextChar">
    <w:name w:val="Comment Text Char"/>
    <w:basedOn w:val="DefaultParagraphFont"/>
    <w:link w:val="CommentText"/>
    <w:uiPriority w:val="99"/>
    <w:rsid w:val="00ED1B7E"/>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ED1B7E"/>
    <w:rPr>
      <w:b/>
      <w:bCs/>
    </w:rPr>
  </w:style>
  <w:style w:type="character" w:customStyle="1" w:styleId="CommentSubjectChar">
    <w:name w:val="Comment Subject Char"/>
    <w:basedOn w:val="CommentTextChar"/>
    <w:link w:val="CommentSubject"/>
    <w:uiPriority w:val="99"/>
    <w:semiHidden/>
    <w:rsid w:val="00ED1B7E"/>
    <w:rPr>
      <w:rFonts w:ascii="Arial" w:eastAsiaTheme="minorEastAsia" w:hAnsi="Arial"/>
      <w:b/>
      <w:bCs/>
      <w:sz w:val="20"/>
      <w:szCs w:val="20"/>
    </w:rPr>
  </w:style>
  <w:style w:type="table" w:customStyle="1" w:styleId="TableGrid3">
    <w:name w:val="Table Grid3"/>
    <w:basedOn w:val="TableNormal"/>
    <w:next w:val="TableGrid"/>
    <w:uiPriority w:val="39"/>
    <w:rsid w:val="00BD1342"/>
    <w:rPr>
      <w:rFonts w:ascii="Aptos" w:eastAsia="Aptos" w:hAnsi="Aptos" w:cs="Times New Roman"/>
      <w:kern w:val="2"/>
      <w:lang w:val="en-AU"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disabilitygateway.gov.au/sites/default/files/documents/2025-06/8636-good-practice-guidelines.pdf" TargetMode="External"/><Relationship Id="rId18" Type="http://schemas.openxmlformats.org/officeDocument/2006/relationships/hyperlink" Target="https://doi.org/10.1186/s12910-021-00585-8" TargetMode="External"/><Relationship Id="rId26" Type="http://schemas.openxmlformats.org/officeDocument/2006/relationships/hyperlink" Target="https://doi.org/10.1186/s13012-017-0688-3" TargetMode="External"/><Relationship Id="rId39" Type="http://schemas.openxmlformats.org/officeDocument/2006/relationships/hyperlink" Target="https://doi.org/10.1016/j.arrct.2021.100115" TargetMode="External"/><Relationship Id="rId21" Type="http://schemas.openxmlformats.org/officeDocument/2006/relationships/hyperlink" Target="https://doi.org/10.1136/bmj-2023-078384" TargetMode="External"/><Relationship Id="rId34" Type="http://schemas.openxmlformats.org/officeDocument/2006/relationships/hyperlink" Target="https://mspgh.unimelb.edu.au/__data/assets/pdf_file/0006/5131878/Making-research-inclusive-of-people-with-disabilities.pdf" TargetMode="External"/><Relationship Id="rId42" Type="http://schemas.openxmlformats.org/officeDocument/2006/relationships/hyperlink" Target="https://doi.org/10.1186/s13012-015-0209-1" TargetMode="External"/><Relationship Id="rId47" Type="http://schemas.openxmlformats.org/officeDocument/2006/relationships/hyperlink" Target="https://doi.org/10.1016/j.ridd.2022.104413" TargetMode="External"/><Relationship Id="rId50" Type="http://schemas.openxmlformats.org/officeDocument/2006/relationships/hyperlink" Target="https://doi.org/10.1177/16094069221095316" TargetMode="External"/><Relationship Id="rId55" Type="http://schemas.openxmlformats.org/officeDocument/2006/relationships/hyperlink" Target="https://doi.org/10.1186/s13063-016-1349-6"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disabilitygateway.gov.au/sites/default/files/documents/2025-06/8636-good-practice-guidelines.pdf" TargetMode="External"/><Relationship Id="rId29" Type="http://schemas.openxmlformats.org/officeDocument/2006/relationships/hyperlink" Target="https://doi.org/10.1177/16094069251316214" TargetMode="External"/><Relationship Id="rId11" Type="http://schemas.openxmlformats.org/officeDocument/2006/relationships/image" Target="media/image2.png"/><Relationship Id="rId24" Type="http://schemas.openxmlformats.org/officeDocument/2006/relationships/hyperlink" Target="https://era.library.ualberta.ca/items/48b9b989-c221-4df6-9e35-af782082280e" TargetMode="External"/><Relationship Id="rId32" Type="http://schemas.openxmlformats.org/officeDocument/2006/relationships/hyperlink" Target="https://www.nhmrc.gov.au/about-us/publications/australian-code-responsible-conduct-research-2018" TargetMode="External"/><Relationship Id="rId37" Type="http://schemas.openxmlformats.org/officeDocument/2006/relationships/hyperlink" Target="https://doi.org/10.1186/s13063-021-05493-1" TargetMode="External"/><Relationship Id="rId40" Type="http://schemas.openxmlformats.org/officeDocument/2006/relationships/hyperlink" Target="https://doi.org/10.1080/09638288.2024.2337099" TargetMode="External"/><Relationship Id="rId45" Type="http://schemas.openxmlformats.org/officeDocument/2006/relationships/hyperlink" Target="https://doi.org/10.1186/s40900-018-0124-0" TargetMode="External"/><Relationship Id="rId53" Type="http://schemas.openxmlformats.org/officeDocument/2006/relationships/hyperlink" Target="https://doi.org/10.1371/journal.pone.0261808" TargetMode="External"/><Relationship Id="rId58" Type="http://schemas.openxmlformats.org/officeDocument/2006/relationships/theme" Target="theme/theme1.xml"/><Relationship Id="rId5" Type="http://schemas.openxmlformats.org/officeDocument/2006/relationships/settings" Target="settings.xml"/><Relationship Id="rId19" Type="http://schemas.openxmlformats.org/officeDocument/2006/relationships/hyperlink" Target="https://doi.org/10.1111/nup.12475" TargetMode="External"/><Relationship Id="rId4" Type="http://schemas.openxmlformats.org/officeDocument/2006/relationships/styles" Target="styles.xml"/><Relationship Id="rId9" Type="http://schemas.openxmlformats.org/officeDocument/2006/relationships/hyperlink" Target="mailto:oharef@unimelb.edu.au" TargetMode="External"/><Relationship Id="rId14" Type="http://schemas.openxmlformats.org/officeDocument/2006/relationships/hyperlink" Target="https://www.covidence.org" TargetMode="External"/><Relationship Id="rId22" Type="http://schemas.openxmlformats.org/officeDocument/2006/relationships/hyperlink" Target="https://database.ich.org/sites/default/files/ICH_E6%28R3%29_Step4_FinalGuideline_2025_0106.pdf" TargetMode="External"/><Relationship Id="rId27" Type="http://schemas.openxmlformats.org/officeDocument/2006/relationships/hyperlink" Target="https://doi.org/10.1017/cts.2022.446" TargetMode="External"/><Relationship Id="rId30" Type="http://schemas.openxmlformats.org/officeDocument/2006/relationships/hyperlink" Target="https://doi.org/10.3316/aeipt.208010" TargetMode="External"/><Relationship Id="rId35" Type="http://schemas.openxmlformats.org/officeDocument/2006/relationships/hyperlink" Target="https://www.nhmrc.gov.au/about-us/publications/national-statement-ethical-conduct-human-research-2023" TargetMode="External"/><Relationship Id="rId43" Type="http://schemas.openxmlformats.org/officeDocument/2006/relationships/hyperlink" Target="https://doi.org/10.4102/hts.v74i1.4738" TargetMode="External"/><Relationship Id="rId48" Type="http://schemas.openxmlformats.org/officeDocument/2006/relationships/hyperlink" Target="https://doi.org/10.1111/inm.12079" TargetMode="External"/><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s://doi.org/10.1177/16094069241244864" TargetMode="External"/><Relationship Id="rId3" Type="http://schemas.openxmlformats.org/officeDocument/2006/relationships/numbering" Target="numbering.xml"/><Relationship Id="rId12" Type="http://schemas.openxmlformats.org/officeDocument/2006/relationships/hyperlink" Target="https://doi.org/10.1186/s40900-021-00265-2" TargetMode="External"/><Relationship Id="rId17" Type="http://schemas.openxmlformats.org/officeDocument/2006/relationships/hyperlink" Target="https://doi.org/10.1186/1748-5908-8-35" TargetMode="External"/><Relationship Id="rId25" Type="http://schemas.openxmlformats.org/officeDocument/2006/relationships/hyperlink" Target="https://doi.org/10.1186/s13012-017-0689-2" TargetMode="External"/><Relationship Id="rId33" Type="http://schemas.openxmlformats.org/officeDocument/2006/relationships/hyperlink" Target="https://acfid.asn.au/sites/site.acfid/files/resource_document/ACFID_RDI%20Principles%20and%20Guidelines%20for%20ethical%20research12-07-2017.pdf" TargetMode="External"/><Relationship Id="rId38" Type="http://schemas.openxmlformats.org/officeDocument/2006/relationships/hyperlink" Target="https://doi.org/10.1136/bmj.n71" TargetMode="External"/><Relationship Id="rId46" Type="http://schemas.openxmlformats.org/officeDocument/2006/relationships/hyperlink" Target="https://doi.org/10.1186/s13012-020-01041-8" TargetMode="External"/><Relationship Id="rId20" Type="http://schemas.openxmlformats.org/officeDocument/2006/relationships/hyperlink" Target="https://doi.org/10.4324/9781315146027" TargetMode="External"/><Relationship Id="rId41" Type="http://schemas.openxmlformats.org/officeDocument/2006/relationships/hyperlink" Target="https://doi.org/10.1177/23814683221148651" TargetMode="External"/><Relationship Id="rId54" Type="http://schemas.openxmlformats.org/officeDocument/2006/relationships/hyperlink" Target="https://doi.org/10.1177/16094069231205176"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oi.org/10.1186/s13012-022-01245-0" TargetMode="External"/><Relationship Id="rId23" Type="http://schemas.openxmlformats.org/officeDocument/2006/relationships/hyperlink" Target="https://doi.org/10.1093/bjsopen/zrac159" TargetMode="External"/><Relationship Id="rId28" Type="http://schemas.openxmlformats.org/officeDocument/2006/relationships/hyperlink" Target="https://doi.org/10.1017/cts.2023.534" TargetMode="External"/><Relationship Id="rId36" Type="http://schemas.openxmlformats.org/officeDocument/2006/relationships/hyperlink" Target="https://onlinelibrary.wiley.com/doi/pdf/10.1002/cl2.70065" TargetMode="External"/><Relationship Id="rId49" Type="http://schemas.openxmlformats.org/officeDocument/2006/relationships/hyperlink" Target="https://doi.org/10.1177/2333721418812624" TargetMode="External"/><Relationship Id="rId57" Type="http://schemas.openxmlformats.org/officeDocument/2006/relationships/fontTable" Target="fontTable.xml"/><Relationship Id="rId10" Type="http://schemas.openxmlformats.org/officeDocument/2006/relationships/image" Target="media/image1.png"/><Relationship Id="rId31" Type="http://schemas.openxmlformats.org/officeDocument/2006/relationships/hyperlink" Target="https://doi.org/10.1186/1471-2288-14-108" TargetMode="External"/><Relationship Id="rId44" Type="http://schemas.openxmlformats.org/officeDocument/2006/relationships/hyperlink" Target="https://doi.org/10.1136/bmjopen-2020-036834" TargetMode="External"/><Relationship Id="rId52" Type="http://schemas.openxmlformats.org/officeDocument/2006/relationships/hyperlink" Target="https://doi.org/10.1186/s12874-024-02417-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6W6iXgw8sJnHobhfbuwru3tPWg==">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A2DAD5F-400F-4B4B-A548-88872958D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82</Pages>
  <Words>20803</Words>
  <Characters>118582</Characters>
  <Application>Microsoft Office Word</Application>
  <DocSecurity>0</DocSecurity>
  <Lines>988</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etanjong</dc:creator>
  <cp:lastModifiedBy>Fleur O'Hare</cp:lastModifiedBy>
  <cp:revision>38</cp:revision>
  <dcterms:created xsi:type="dcterms:W3CDTF">2026-05-29T03:31:00Z</dcterms:created>
  <dcterms:modified xsi:type="dcterms:W3CDTF">2026-06-04T02:25:00Z</dcterms:modified>
</cp:coreProperties>
</file>